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right"/>
        <w:rPr>
          <w:rFonts w:hint="eastAsia" w:ascii="宋体" w:hAnsi="宋体" w:eastAsia="宋体"/>
          <w:b/>
          <w:color w:val="auto"/>
          <w:sz w:val="28"/>
          <w:szCs w:val="28"/>
          <w:lang w:eastAsia="zh-CN"/>
        </w:rPr>
      </w:pPr>
      <w:r>
        <w:rPr>
          <w:rFonts w:ascii="宋体" w:hAnsi="宋体" w:eastAsia="宋体"/>
          <w:b/>
          <w:color w:val="auto"/>
          <w:sz w:val="28"/>
          <w:szCs w:val="28"/>
        </w:rPr>
        <w:t>编号：</w:t>
      </w:r>
      <w:r>
        <w:rPr>
          <w:rFonts w:hint="eastAsia" w:ascii="宋体" w:hAnsi="宋体" w:eastAsia="宋体"/>
          <w:b/>
          <w:color w:val="auto"/>
          <w:sz w:val="28"/>
          <w:szCs w:val="28"/>
          <w:lang w:eastAsia="zh-CN"/>
        </w:rPr>
        <w:t>AYDS-AX2021-003</w:t>
      </w:r>
    </w:p>
    <w:p>
      <w:pPr>
        <w:spacing w:line="600" w:lineRule="exact"/>
        <w:jc w:val="center"/>
        <w:rPr>
          <w:rFonts w:ascii="宋体" w:hAnsi="宋体" w:eastAsia="PMingLiU"/>
          <w:color w:val="auto"/>
          <w:sz w:val="44"/>
          <w:szCs w:val="44"/>
        </w:rPr>
      </w:pPr>
      <w:bookmarkStart w:id="0" w:name="bookmark0"/>
    </w:p>
    <w:p>
      <w:pPr>
        <w:spacing w:line="600" w:lineRule="exact"/>
        <w:jc w:val="center"/>
        <w:rPr>
          <w:rFonts w:ascii="宋体" w:hAnsi="宋体" w:eastAsia="PMingLiU"/>
          <w:color w:val="auto"/>
          <w:sz w:val="44"/>
          <w:szCs w:val="44"/>
        </w:rPr>
      </w:pPr>
    </w:p>
    <w:p>
      <w:pPr>
        <w:spacing w:line="600" w:lineRule="exact"/>
        <w:jc w:val="center"/>
        <w:rPr>
          <w:rFonts w:ascii="宋体" w:hAnsi="宋体" w:eastAsia="PMingLiU"/>
          <w:color w:val="auto"/>
          <w:sz w:val="44"/>
          <w:szCs w:val="44"/>
        </w:rPr>
      </w:pPr>
    </w:p>
    <w:p>
      <w:pPr>
        <w:spacing w:line="600" w:lineRule="exact"/>
        <w:jc w:val="center"/>
        <w:rPr>
          <w:rFonts w:ascii="宋体" w:hAnsi="宋体" w:eastAsia="PMingLiU"/>
          <w:color w:val="auto"/>
          <w:sz w:val="44"/>
          <w:szCs w:val="44"/>
        </w:rPr>
      </w:pPr>
    </w:p>
    <w:bookmarkEnd w:id="0"/>
    <w:p>
      <w:pPr>
        <w:spacing w:line="600" w:lineRule="exact"/>
        <w:jc w:val="center"/>
        <w:rPr>
          <w:rFonts w:hint="eastAsia" w:ascii="宋体" w:hAnsi="宋体" w:eastAsia="宋体"/>
          <w:b/>
          <w:color w:val="auto"/>
          <w:sz w:val="44"/>
          <w:szCs w:val="44"/>
          <w:lang w:eastAsia="zh-CN"/>
        </w:rPr>
      </w:pPr>
      <w:r>
        <w:rPr>
          <w:rFonts w:hint="eastAsia" w:ascii="宋体" w:hAnsi="宋体" w:eastAsia="宋体"/>
          <w:b/>
          <w:color w:val="auto"/>
          <w:sz w:val="44"/>
          <w:szCs w:val="44"/>
          <w:lang w:eastAsia="zh-CN"/>
        </w:rPr>
        <w:t>东莞优诺电子焊接材料有限公司</w:t>
      </w:r>
    </w:p>
    <w:p>
      <w:pPr>
        <w:spacing w:line="600" w:lineRule="exact"/>
        <w:jc w:val="center"/>
        <w:rPr>
          <w:rFonts w:ascii="宋体" w:hAnsi="宋体" w:eastAsia="PMingLiU"/>
          <w:b/>
          <w:color w:val="auto"/>
          <w:sz w:val="44"/>
          <w:szCs w:val="44"/>
        </w:rPr>
      </w:pPr>
    </w:p>
    <w:p>
      <w:pPr>
        <w:spacing w:line="600" w:lineRule="exact"/>
        <w:jc w:val="center"/>
        <w:rPr>
          <w:rFonts w:ascii="黑体" w:hAnsi="黑体" w:eastAsia="PMingLiU"/>
          <w:b/>
          <w:color w:val="auto"/>
          <w:sz w:val="52"/>
          <w:szCs w:val="52"/>
        </w:rPr>
      </w:pPr>
      <w:r>
        <w:rPr>
          <w:rFonts w:ascii="黑体" w:hAnsi="黑体" w:eastAsia="黑体"/>
          <w:b/>
          <w:color w:val="auto"/>
          <w:sz w:val="52"/>
          <w:szCs w:val="52"/>
        </w:rPr>
        <w:t>安全评价报告</w:t>
      </w: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被评价单位主要负责人：</w:t>
      </w:r>
      <w:r>
        <w:rPr>
          <w:rFonts w:hint="eastAsia" w:ascii="仿宋_GB2312" w:hAnsi="Times New Roman" w:eastAsia="仿宋_GB2312" w:cs="Times New Roman"/>
          <w:color w:val="auto"/>
          <w:sz w:val="32"/>
          <w:lang w:val="en-US" w:eastAsia="zh-CN" w:bidi="ar-SA"/>
        </w:rPr>
        <w:t>白映月</w:t>
      </w: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被评价单位经办人：</w:t>
      </w:r>
      <w:r>
        <w:rPr>
          <w:rFonts w:hint="eastAsia" w:ascii="仿宋_GB2312" w:hAnsi="Times New Roman" w:eastAsia="仿宋_GB2312" w:cs="Times New Roman"/>
          <w:color w:val="auto"/>
          <w:sz w:val="32"/>
          <w:lang w:val="en-US" w:eastAsia="zh-CN" w:bidi="ar-SA"/>
        </w:rPr>
        <w:t>周秀群</w:t>
      </w: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被评价单位联系电话：</w:t>
      </w:r>
      <w:r>
        <w:rPr>
          <w:rFonts w:hint="eastAsia" w:ascii="仿宋_GB2312" w:hAnsi="Times New Roman" w:eastAsia="仿宋_GB2312" w:cs="Times New Roman"/>
          <w:color w:val="auto"/>
          <w:sz w:val="32"/>
          <w:lang w:val="en-US" w:eastAsia="zh-CN" w:bidi="ar-SA"/>
        </w:rPr>
        <w:t>13650449038</w:t>
      </w: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p>
    <w:p>
      <w:pPr>
        <w:widowControl/>
        <w:spacing w:line="600" w:lineRule="exact"/>
        <w:ind w:left="-2" w:leftChars="-1" w:firstLine="1"/>
        <w:jc w:val="center"/>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(被评价单位公章)</w:t>
      </w:r>
    </w:p>
    <w:p>
      <w:pPr>
        <w:widowControl/>
        <w:spacing w:line="600" w:lineRule="exact"/>
        <w:ind w:left="-2" w:leftChars="-1" w:firstLine="1"/>
        <w:jc w:val="center"/>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20</w:t>
      </w:r>
      <w:r>
        <w:rPr>
          <w:rFonts w:hint="eastAsia" w:ascii="仿宋_GB2312" w:hAnsi="Times New Roman" w:eastAsia="仿宋_GB2312" w:cs="Times New Roman"/>
          <w:color w:val="auto"/>
          <w:sz w:val="32"/>
          <w:lang w:val="en-US" w:eastAsia="zh-CN" w:bidi="ar-SA"/>
        </w:rPr>
        <w:t>21</w:t>
      </w:r>
      <w:r>
        <w:rPr>
          <w:rFonts w:ascii="仿宋_GB2312" w:hAnsi="Times New Roman" w:eastAsia="仿宋_GB2312" w:cs="Times New Roman"/>
          <w:color w:val="auto"/>
          <w:sz w:val="32"/>
          <w:lang w:val="en-US" w:eastAsia="zh-CN" w:bidi="ar-SA"/>
        </w:rPr>
        <w:t>年</w:t>
      </w:r>
      <w:r>
        <w:rPr>
          <w:rFonts w:hint="eastAsia" w:ascii="仿宋_GB2312" w:hAnsi="Times New Roman" w:eastAsia="仿宋_GB2312" w:cs="Times New Roman"/>
          <w:color w:val="auto"/>
          <w:sz w:val="32"/>
          <w:lang w:val="en-US" w:eastAsia="zh-CN" w:bidi="ar-SA"/>
        </w:rPr>
        <w:t>04</w:t>
      </w:r>
      <w:r>
        <w:rPr>
          <w:rFonts w:ascii="仿宋_GB2312" w:hAnsi="Times New Roman" w:eastAsia="仿宋_GB2312" w:cs="Times New Roman"/>
          <w:color w:val="auto"/>
          <w:sz w:val="32"/>
          <w:lang w:val="en-US" w:eastAsia="zh-CN" w:bidi="ar-SA"/>
        </w:rPr>
        <w:t>月</w:t>
      </w:r>
      <w:r>
        <w:rPr>
          <w:rFonts w:hint="eastAsia" w:ascii="仿宋_GB2312" w:hAnsi="Times New Roman" w:eastAsia="仿宋_GB2312" w:cs="Times New Roman"/>
          <w:color w:val="auto"/>
          <w:sz w:val="32"/>
          <w:lang w:val="en-US" w:eastAsia="zh-CN" w:bidi="ar-SA"/>
        </w:rPr>
        <w:t>25</w:t>
      </w:r>
      <w:r>
        <w:rPr>
          <w:rFonts w:ascii="仿宋_GB2312" w:hAnsi="Times New Roman" w:eastAsia="仿宋_GB2312" w:cs="Times New Roman"/>
          <w:color w:val="auto"/>
          <w:sz w:val="32"/>
          <w:lang w:val="en-US" w:eastAsia="zh-CN" w:bidi="ar-SA"/>
        </w:rPr>
        <w:t>日</w:t>
      </w:r>
    </w:p>
    <w:p>
      <w:pPr>
        <w:spacing w:line="560" w:lineRule="exact"/>
        <w:jc w:val="center"/>
        <w:rPr>
          <w:rFonts w:ascii="仿宋_GB2312" w:hAnsi="宋体" w:eastAsia="仿宋_GB2312"/>
          <w:bCs/>
          <w:color w:val="auto"/>
          <w:sz w:val="44"/>
          <w:szCs w:val="44"/>
          <w:lang w:val="en-GB"/>
        </w:rPr>
      </w:pPr>
    </w:p>
    <w:p>
      <w:pPr>
        <w:spacing w:line="560" w:lineRule="exact"/>
        <w:jc w:val="center"/>
        <w:rPr>
          <w:rFonts w:ascii="仿宋_GB2312" w:hAnsi="宋体" w:eastAsia="仿宋_GB2312"/>
          <w:bCs/>
          <w:color w:val="auto"/>
          <w:sz w:val="44"/>
          <w:szCs w:val="44"/>
          <w:lang w:val="en-GB"/>
        </w:rPr>
      </w:pPr>
    </w:p>
    <w:p>
      <w:pPr>
        <w:spacing w:line="560" w:lineRule="exact"/>
        <w:jc w:val="center"/>
        <w:rPr>
          <w:rFonts w:ascii="仿宋_GB2312" w:hAnsi="宋体" w:eastAsia="仿宋_GB2312"/>
          <w:bCs/>
          <w:color w:val="auto"/>
          <w:sz w:val="36"/>
          <w:szCs w:val="36"/>
          <w:lang w:val="en-GB"/>
        </w:rPr>
      </w:pPr>
    </w:p>
    <w:p>
      <w:pPr>
        <w:rPr>
          <w:rFonts w:hint="eastAsia" w:ascii="仿宋_GB2312" w:hAnsi="宋体" w:eastAsia="仿宋_GB2312"/>
          <w:b/>
          <w:bCs/>
          <w:color w:val="auto"/>
          <w:sz w:val="36"/>
          <w:szCs w:val="36"/>
          <w:lang w:val="en-GB" w:eastAsia="zh-CN"/>
        </w:rPr>
      </w:pPr>
      <w:r>
        <w:rPr>
          <w:rFonts w:hint="eastAsia" w:ascii="仿宋_GB2312" w:hAnsi="宋体" w:eastAsia="仿宋_GB2312"/>
          <w:b/>
          <w:bCs/>
          <w:color w:val="auto"/>
          <w:sz w:val="36"/>
          <w:szCs w:val="36"/>
          <w:lang w:val="en-GB" w:eastAsia="zh-CN"/>
        </w:rPr>
        <w:br w:type="page"/>
      </w:r>
    </w:p>
    <w:p>
      <w:pPr>
        <w:spacing w:line="560" w:lineRule="exact"/>
        <w:jc w:val="center"/>
        <w:rPr>
          <w:rFonts w:hint="eastAsia" w:ascii="仿宋_GB2312" w:hAnsi="宋体" w:eastAsia="仿宋_GB2312"/>
          <w:b/>
          <w:bCs/>
          <w:color w:val="auto"/>
          <w:sz w:val="36"/>
          <w:szCs w:val="36"/>
          <w:lang w:val="en-GB" w:eastAsia="zh-CN"/>
        </w:rPr>
      </w:pPr>
      <w:r>
        <w:rPr>
          <w:rFonts w:hint="eastAsia" w:ascii="仿宋_GB2312" w:hAnsi="宋体" w:eastAsia="仿宋_GB2312"/>
          <w:b/>
          <w:bCs/>
          <w:color w:val="auto"/>
          <w:sz w:val="36"/>
          <w:szCs w:val="36"/>
          <w:lang w:val="en-GB" w:eastAsia="zh-CN"/>
        </w:rPr>
        <w:t>东莞优诺电子焊接材料有限公司</w:t>
      </w:r>
    </w:p>
    <w:p>
      <w:pPr>
        <w:widowControl/>
        <w:spacing w:line="500" w:lineRule="exact"/>
        <w:jc w:val="center"/>
        <w:rPr>
          <w:rFonts w:ascii="宋体"/>
          <w:b/>
          <w:color w:val="auto"/>
          <w:sz w:val="52"/>
          <w:lang w:val="en-GB"/>
        </w:rPr>
      </w:pPr>
    </w:p>
    <w:p>
      <w:pPr>
        <w:widowControl/>
        <w:jc w:val="center"/>
        <w:rPr>
          <w:rFonts w:ascii="宋体" w:hAnsi="宋体" w:eastAsia="宋体"/>
          <w:b/>
          <w:bCs/>
          <w:color w:val="auto"/>
          <w:sz w:val="52"/>
          <w:szCs w:val="52"/>
        </w:rPr>
      </w:pPr>
      <w:r>
        <w:rPr>
          <w:rFonts w:hint="eastAsia" w:ascii="宋体" w:hAnsi="宋体" w:eastAsia="宋体"/>
          <w:b/>
          <w:bCs/>
          <w:color w:val="auto"/>
          <w:sz w:val="52"/>
          <w:szCs w:val="52"/>
        </w:rPr>
        <w:t>安全评价报告</w:t>
      </w: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spacing w:line="360" w:lineRule="auto"/>
        <w:ind w:firstLine="1680" w:firstLineChars="600"/>
        <w:jc w:val="both"/>
        <w:rPr>
          <w:rFonts w:ascii="宋体" w:hAnsi="宋体" w:eastAsia="宋体"/>
          <w:bCs/>
          <w:color w:val="auto"/>
          <w:sz w:val="28"/>
          <w:szCs w:val="28"/>
          <w:highlight w:val="yellow"/>
        </w:rPr>
      </w:pPr>
      <w:r>
        <w:rPr>
          <w:rFonts w:hint="eastAsia" w:ascii="宋体" w:hAnsi="宋体" w:eastAsia="宋体"/>
          <w:bCs/>
          <w:color w:val="auto"/>
          <w:sz w:val="28"/>
          <w:szCs w:val="28"/>
        </w:rPr>
        <w:t>评价机构名称：广东安源鼎盛检测评价技术服务有限公司</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rPr>
        <w:t>资质证书编号：APJ-（粤）-333</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rPr>
        <w:t>法定代表人：鲍玉朴</w:t>
      </w:r>
    </w:p>
    <w:p>
      <w:pPr>
        <w:spacing w:line="360" w:lineRule="auto"/>
        <w:ind w:firstLine="1680" w:firstLineChars="600"/>
        <w:jc w:val="both"/>
        <w:rPr>
          <w:rFonts w:hint="eastAsia" w:ascii="宋体" w:hAnsi="宋体" w:eastAsia="宋体"/>
          <w:bCs/>
          <w:color w:val="auto"/>
          <w:sz w:val="28"/>
          <w:szCs w:val="28"/>
          <w:lang w:eastAsia="zh-CN"/>
        </w:rPr>
      </w:pPr>
      <w:r>
        <w:rPr>
          <w:rFonts w:hint="eastAsia" w:ascii="宋体" w:hAnsi="宋体" w:eastAsia="宋体"/>
          <w:bCs/>
          <w:color w:val="auto"/>
          <w:sz w:val="28"/>
          <w:szCs w:val="28"/>
          <w:lang w:eastAsia="zh-CN"/>
        </w:rPr>
        <w:t>技术负责人</w:t>
      </w:r>
      <w:r>
        <w:rPr>
          <w:rFonts w:hint="eastAsia" w:ascii="宋体" w:hAnsi="宋体" w:eastAsia="宋体"/>
          <w:bCs/>
          <w:color w:val="auto"/>
          <w:sz w:val="28"/>
          <w:szCs w:val="28"/>
        </w:rPr>
        <w:t>：</w:t>
      </w:r>
      <w:r>
        <w:rPr>
          <w:rFonts w:hint="eastAsia" w:ascii="宋体" w:hAnsi="宋体" w:eastAsia="宋体"/>
          <w:bCs/>
          <w:color w:val="auto"/>
          <w:sz w:val="28"/>
          <w:szCs w:val="28"/>
          <w:lang w:eastAsia="zh-CN"/>
        </w:rPr>
        <w:t>刘</w:t>
      </w:r>
      <w:r>
        <w:rPr>
          <w:rFonts w:hint="eastAsia" w:ascii="宋体" w:hAnsi="宋体" w:eastAsia="宋体"/>
          <w:bCs/>
          <w:color w:val="auto"/>
          <w:sz w:val="28"/>
          <w:szCs w:val="28"/>
          <w:lang w:val="en-US" w:eastAsia="zh-CN"/>
        </w:rPr>
        <w:t xml:space="preserve">  </w:t>
      </w:r>
      <w:r>
        <w:rPr>
          <w:rFonts w:hint="eastAsia" w:ascii="宋体" w:hAnsi="宋体" w:eastAsia="宋体"/>
          <w:bCs/>
          <w:color w:val="auto"/>
          <w:sz w:val="28"/>
          <w:szCs w:val="28"/>
          <w:lang w:eastAsia="zh-CN"/>
        </w:rPr>
        <w:t>钢</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rPr>
        <w:t>评价负责人：彭书萍</w:t>
      </w:r>
    </w:p>
    <w:p>
      <w:pPr>
        <w:spacing w:line="360" w:lineRule="auto"/>
        <w:ind w:firstLine="1680" w:firstLineChars="600"/>
        <w:jc w:val="both"/>
        <w:rPr>
          <w:rFonts w:ascii="宋体" w:hAnsi="宋体" w:eastAsia="宋体"/>
          <w:b/>
          <w:color w:val="auto"/>
          <w:sz w:val="32"/>
          <w:lang w:val="en-US"/>
        </w:rPr>
      </w:pPr>
      <w:r>
        <w:rPr>
          <w:rFonts w:hint="eastAsia" w:ascii="宋体" w:hAnsi="宋体" w:eastAsia="宋体"/>
          <w:bCs/>
          <w:color w:val="auto"/>
          <w:sz w:val="28"/>
          <w:szCs w:val="28"/>
        </w:rPr>
        <w:t>评价机构联系电话：</w:t>
      </w:r>
      <w:r>
        <w:rPr>
          <w:rFonts w:hint="eastAsia" w:ascii="宋体" w:hAnsi="宋体" w:eastAsia="宋体"/>
          <w:bCs/>
          <w:color w:val="auto"/>
          <w:sz w:val="28"/>
          <w:szCs w:val="28"/>
          <w:lang w:val="en-US"/>
        </w:rPr>
        <w:t>0769-22869222</w:t>
      </w:r>
    </w:p>
    <w:p>
      <w:pPr>
        <w:widowControl/>
        <w:spacing w:line="560" w:lineRule="exact"/>
        <w:rPr>
          <w:rFonts w:ascii="仿宋_GB2312" w:eastAsia="仿宋_GB2312"/>
          <w:b/>
          <w:color w:val="auto"/>
          <w:sz w:val="32"/>
          <w:lang w:val="en-US"/>
        </w:rPr>
      </w:pPr>
    </w:p>
    <w:p>
      <w:pPr>
        <w:widowControl/>
        <w:spacing w:line="560" w:lineRule="exact"/>
        <w:rPr>
          <w:rFonts w:ascii="仿宋_GB2312" w:eastAsia="仿宋_GB2312"/>
          <w:b/>
          <w:color w:val="auto"/>
          <w:sz w:val="32"/>
        </w:rPr>
      </w:pPr>
    </w:p>
    <w:p>
      <w:pPr>
        <w:ind w:right="272"/>
        <w:jc w:val="center"/>
        <w:rPr>
          <w:b/>
          <w:color w:val="auto"/>
        </w:rPr>
      </w:pPr>
      <w:r>
        <w:rPr>
          <w:rFonts w:hint="eastAsia"/>
          <w:b/>
          <w:color w:val="auto"/>
        </w:rPr>
        <w:t>202</w:t>
      </w:r>
      <w:r>
        <w:rPr>
          <w:rFonts w:hint="eastAsia" w:eastAsia="宋体"/>
          <w:b/>
          <w:color w:val="auto"/>
          <w:lang w:val="en-US" w:eastAsia="zh-CN"/>
        </w:rPr>
        <w:t>1</w:t>
      </w:r>
      <w:r>
        <w:rPr>
          <w:rFonts w:hint="eastAsia"/>
          <w:b/>
          <w:color w:val="auto"/>
        </w:rPr>
        <w:t>年</w:t>
      </w:r>
      <w:r>
        <w:rPr>
          <w:rFonts w:hint="eastAsia" w:eastAsiaTheme="minorEastAsia"/>
          <w:b/>
          <w:color w:val="auto"/>
          <w:lang w:val="en-US" w:eastAsia="zh-CN"/>
        </w:rPr>
        <w:t>04</w:t>
      </w:r>
      <w:r>
        <w:rPr>
          <w:rFonts w:hint="eastAsia"/>
          <w:b/>
          <w:color w:val="auto"/>
        </w:rPr>
        <w:t>月</w:t>
      </w:r>
      <w:r>
        <w:rPr>
          <w:rFonts w:hint="eastAsia" w:eastAsia="宋体"/>
          <w:b/>
          <w:color w:val="auto"/>
          <w:lang w:val="en-US" w:eastAsia="zh-CN"/>
        </w:rPr>
        <w:t>26</w:t>
      </w:r>
      <w:r>
        <w:rPr>
          <w:rFonts w:hint="eastAsia"/>
          <w:b/>
          <w:color w:val="auto"/>
        </w:rPr>
        <w:t>日</w:t>
      </w:r>
    </w:p>
    <w:p>
      <w:pPr>
        <w:ind w:right="272"/>
        <w:jc w:val="center"/>
        <w:rPr>
          <w:b/>
          <w:color w:val="auto"/>
        </w:rPr>
      </w:pPr>
      <w:r>
        <w:rPr>
          <w:rFonts w:hint="eastAsia"/>
          <w:b/>
          <w:color w:val="auto"/>
        </w:rPr>
        <w:t>（安全评价机构公章）</w:t>
      </w:r>
    </w:p>
    <w:p>
      <w:pPr>
        <w:widowControl/>
        <w:spacing w:line="560" w:lineRule="exact"/>
        <w:rPr>
          <w:rFonts w:ascii="仿宋_GB2312" w:eastAsia="仿宋_GB2312"/>
          <w:b/>
          <w:color w:val="auto"/>
          <w:sz w:val="32"/>
        </w:rPr>
        <w:sectPr>
          <w:headerReference r:id="rId5" w:type="even"/>
          <w:pgSz w:w="11900" w:h="16840"/>
          <w:pgMar w:top="1560" w:right="1080" w:bottom="1440" w:left="1080" w:header="851" w:footer="376" w:gutter="0"/>
          <w:cols w:space="720" w:num="1"/>
          <w:docGrid w:linePitch="360" w:charSpace="0"/>
        </w:sectPr>
      </w:pPr>
    </w:p>
    <w:p>
      <w:pPr>
        <w:rPr>
          <w:rFonts w:hint="eastAsia" w:eastAsiaTheme="minorEastAsia"/>
          <w:b/>
          <w:color w:val="auto"/>
          <w:sz w:val="32"/>
          <w:szCs w:val="32"/>
          <w:lang w:eastAsia="zh-CN"/>
        </w:rPr>
      </w:pPr>
      <w:r>
        <w:rPr>
          <w:rFonts w:hint="eastAsia" w:eastAsiaTheme="minorEastAsia"/>
          <w:b/>
          <w:color w:val="auto"/>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Theme="minorEastAsia"/>
          <w:b/>
          <w:color w:val="auto"/>
          <w:sz w:val="32"/>
          <w:szCs w:val="32"/>
          <w:lang w:eastAsia="zh-CN"/>
        </w:rPr>
      </w:pPr>
      <w:r>
        <w:rPr>
          <w:rFonts w:hint="eastAsia" w:eastAsiaTheme="minorEastAsia"/>
          <w:b/>
          <w:color w:val="auto"/>
          <w:sz w:val="32"/>
          <w:szCs w:val="32"/>
          <w:lang w:eastAsia="zh-CN"/>
        </w:rPr>
        <w:t>东莞优诺电子焊接材料有限公司安全评价报告</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Theme="minorEastAsia"/>
          <w:b/>
          <w:color w:val="auto"/>
          <w:sz w:val="32"/>
          <w:szCs w:val="32"/>
          <w:lang w:eastAsia="zh-CN"/>
        </w:rPr>
      </w:pPr>
      <w:r>
        <w:rPr>
          <w:rFonts w:hint="eastAsia" w:eastAsiaTheme="minorEastAsia"/>
          <w:b/>
          <w:color w:val="auto"/>
          <w:sz w:val="32"/>
          <w:szCs w:val="32"/>
          <w:lang w:eastAsia="zh-CN"/>
        </w:rPr>
        <w:t>评价人员</w:t>
      </w:r>
    </w:p>
    <w:tbl>
      <w:tblPr>
        <w:tblStyle w:val="46"/>
        <w:tblW w:w="9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103"/>
        <w:gridCol w:w="2940"/>
        <w:gridCol w:w="1408"/>
        <w:gridCol w:w="1237"/>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c>
          <w:tcPr>
            <w:tcW w:w="1103"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姓名</w:t>
            </w:r>
          </w:p>
        </w:tc>
        <w:tc>
          <w:tcPr>
            <w:tcW w:w="294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职业资格证书编号</w:t>
            </w:r>
          </w:p>
        </w:tc>
        <w:tc>
          <w:tcPr>
            <w:tcW w:w="1408"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lang w:val="en-US" w:eastAsia="zh-CN"/>
              </w:rPr>
            </w:pPr>
            <w:r>
              <w:rPr>
                <w:rFonts w:hint="eastAsia" w:ascii="宋体" w:hAnsi="宋体" w:eastAsia="宋体" w:cs="宋体"/>
                <w:b/>
                <w:bCs/>
                <w:color w:val="auto"/>
                <w:kern w:val="2"/>
                <w:sz w:val="24"/>
                <w:szCs w:val="24"/>
                <w:shd w:val="clear" w:color="auto" w:fill="auto"/>
                <w:lang w:val="en-US" w:eastAsia="zh-CN"/>
              </w:rPr>
              <w:t>从业编号</w:t>
            </w:r>
          </w:p>
        </w:tc>
        <w:tc>
          <w:tcPr>
            <w:tcW w:w="1237"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lang w:eastAsia="zh-CN"/>
              </w:rPr>
            </w:pPr>
            <w:r>
              <w:rPr>
                <w:rFonts w:hint="eastAsia" w:ascii="宋体" w:hAnsi="宋体" w:eastAsia="宋体" w:cs="宋体"/>
                <w:b/>
                <w:bCs/>
                <w:color w:val="auto"/>
                <w:kern w:val="2"/>
                <w:sz w:val="24"/>
                <w:szCs w:val="24"/>
                <w:shd w:val="clear" w:color="auto" w:fill="auto"/>
                <w:lang w:eastAsia="zh-CN"/>
              </w:rPr>
              <w:t>专业能力</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项目负责人</w:t>
            </w:r>
          </w:p>
        </w:tc>
        <w:tc>
          <w:tcPr>
            <w:tcW w:w="1103"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rPr>
            </w:pPr>
            <w:r>
              <w:rPr>
                <w:rFonts w:hint="eastAsia" w:ascii="宋体" w:hAnsi="宋体" w:eastAsia="宋体" w:cs="宋体"/>
                <w:color w:val="auto"/>
                <w:kern w:val="2"/>
                <w:sz w:val="24"/>
                <w:szCs w:val="24"/>
                <w:shd w:val="clear" w:color="auto" w:fill="auto"/>
              </w:rPr>
              <w:t>彭书萍</w:t>
            </w:r>
          </w:p>
        </w:tc>
        <w:tc>
          <w:tcPr>
            <w:tcW w:w="2940"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4"/>
                <w:szCs w:val="24"/>
                <w:shd w:val="clear" w:color="auto" w:fill="auto"/>
              </w:rPr>
            </w:pPr>
            <w:r>
              <w:rPr>
                <w:rFonts w:hint="eastAsia" w:ascii="宋体" w:hAnsi="宋体" w:eastAsia="宋体" w:cs="宋体"/>
                <w:color w:val="auto"/>
                <w:kern w:val="0"/>
                <w:sz w:val="24"/>
                <w:szCs w:val="24"/>
                <w:shd w:val="clear" w:color="auto" w:fill="auto"/>
              </w:rPr>
              <w:t>1800000000201047</w:t>
            </w:r>
          </w:p>
        </w:tc>
        <w:tc>
          <w:tcPr>
            <w:tcW w:w="1408"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4"/>
                <w:szCs w:val="24"/>
                <w:shd w:val="clear" w:color="auto" w:fill="auto"/>
              </w:rPr>
            </w:pPr>
            <w:r>
              <w:rPr>
                <w:rFonts w:hint="eastAsia" w:ascii="宋体" w:hAnsi="宋体" w:eastAsia="宋体" w:cs="宋体"/>
                <w:color w:val="auto"/>
                <w:kern w:val="0"/>
                <w:sz w:val="24"/>
                <w:szCs w:val="24"/>
                <w:shd w:val="clear" w:color="auto" w:fill="auto"/>
              </w:rPr>
              <w:t>033515</w:t>
            </w:r>
          </w:p>
        </w:tc>
        <w:tc>
          <w:tcPr>
            <w:tcW w:w="1237"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lang w:eastAsia="zh-CN"/>
              </w:rPr>
            </w:pPr>
            <w:r>
              <w:rPr>
                <w:rFonts w:hint="eastAsia" w:ascii="宋体" w:hAnsi="宋体" w:eastAsia="宋体" w:cs="宋体"/>
                <w:color w:val="auto"/>
                <w:kern w:val="2"/>
                <w:sz w:val="24"/>
                <w:szCs w:val="24"/>
                <w:shd w:val="clear" w:color="auto" w:fill="auto"/>
                <w:lang w:eastAsia="zh-CN"/>
              </w:rPr>
              <w:t>化工工艺</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项目组成员</w:t>
            </w: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任长江</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1600000000200301</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028500</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自动化</w:t>
            </w:r>
          </w:p>
        </w:tc>
        <w:tc>
          <w:tcPr>
            <w:tcW w:w="106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梁淑君</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S011044000110192002611</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037285</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化工机械</w:t>
            </w:r>
          </w:p>
        </w:tc>
        <w:tc>
          <w:tcPr>
            <w:tcW w:w="106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呼达</w:t>
            </w:r>
          </w:p>
        </w:tc>
        <w:tc>
          <w:tcPr>
            <w:tcW w:w="2940"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1800000000300982</w:t>
            </w:r>
          </w:p>
        </w:tc>
        <w:tc>
          <w:tcPr>
            <w:tcW w:w="140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033591</w:t>
            </w:r>
          </w:p>
        </w:tc>
        <w:tc>
          <w:tcPr>
            <w:tcW w:w="1237"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lang w:eastAsia="zh-CN"/>
              </w:rPr>
            </w:pPr>
            <w:r>
              <w:rPr>
                <w:rFonts w:hint="eastAsia" w:ascii="宋体" w:hAnsi="宋体" w:eastAsia="宋体" w:cs="宋体"/>
                <w:color w:val="auto"/>
                <w:kern w:val="2"/>
                <w:sz w:val="24"/>
                <w:szCs w:val="24"/>
                <w:shd w:val="clear" w:color="auto" w:fill="auto"/>
                <w:lang w:eastAsia="zh-CN"/>
              </w:rPr>
              <w:t>安全</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颜松桦</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0800000000303985</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017989</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rPr>
            </w:pPr>
            <w:r>
              <w:rPr>
                <w:rFonts w:hint="eastAsia" w:ascii="宋体" w:hAnsi="宋体" w:eastAsia="宋体" w:cs="宋体"/>
                <w:i w:val="0"/>
                <w:iCs w:val="0"/>
                <w:color w:val="auto"/>
                <w:kern w:val="0"/>
                <w:sz w:val="24"/>
                <w:szCs w:val="24"/>
                <w:u w:val="none"/>
                <w:lang w:val="en-US" w:eastAsia="zh-CN" w:bidi="ar"/>
              </w:rPr>
              <w:t>电气</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restart"/>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报告编制人</w:t>
            </w:r>
          </w:p>
        </w:tc>
        <w:tc>
          <w:tcPr>
            <w:tcW w:w="1103" w:type="dxa"/>
            <w:noWrap w:val="0"/>
            <w:vAlign w:val="center"/>
          </w:tcPr>
          <w:p>
            <w:pPr>
              <w:keepNext w:val="0"/>
              <w:keepLines w:val="0"/>
              <w:suppressLineNumbers w:val="0"/>
              <w:spacing w:before="0" w:beforeAutospacing="0" w:after="0" w:afterAutospacing="0" w:line="260" w:lineRule="atLeast"/>
              <w:ind w:left="0" w:leftChars="0" w:right="0" w:rightChars="0"/>
              <w:jc w:val="center"/>
              <w:rPr>
                <w:rFonts w:hint="eastAsia" w:ascii="宋体" w:hAnsi="宋体" w:eastAsia="宋体" w:cs="宋体"/>
                <w:color w:val="auto"/>
                <w:kern w:val="2"/>
                <w:sz w:val="24"/>
                <w:szCs w:val="24"/>
                <w:shd w:val="clear" w:color="auto" w:fill="auto"/>
                <w:lang w:val="zh-TW" w:eastAsia="zh-TW" w:bidi="zh-TW"/>
              </w:rPr>
            </w:pPr>
            <w:r>
              <w:rPr>
                <w:rFonts w:hint="eastAsia" w:ascii="宋体" w:hAnsi="宋体" w:eastAsia="宋体" w:cs="宋体"/>
                <w:color w:val="auto"/>
                <w:kern w:val="2"/>
                <w:sz w:val="24"/>
                <w:szCs w:val="24"/>
                <w:shd w:val="clear" w:color="auto" w:fill="auto"/>
              </w:rPr>
              <w:t>彭书萍</w:t>
            </w:r>
          </w:p>
        </w:tc>
        <w:tc>
          <w:tcPr>
            <w:tcW w:w="2940"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auto"/>
                <w:kern w:val="0"/>
                <w:sz w:val="24"/>
                <w:szCs w:val="24"/>
                <w:shd w:val="clear" w:color="auto" w:fill="auto"/>
                <w:lang w:val="zh-TW" w:eastAsia="zh-TW" w:bidi="zh-TW"/>
              </w:rPr>
            </w:pPr>
            <w:r>
              <w:rPr>
                <w:rFonts w:hint="eastAsia" w:ascii="宋体" w:hAnsi="宋体" w:eastAsia="宋体" w:cs="宋体"/>
                <w:color w:val="auto"/>
                <w:kern w:val="0"/>
                <w:sz w:val="24"/>
                <w:szCs w:val="24"/>
                <w:shd w:val="clear" w:color="auto" w:fill="auto"/>
              </w:rPr>
              <w:t>1800000000201047</w:t>
            </w:r>
          </w:p>
        </w:tc>
        <w:tc>
          <w:tcPr>
            <w:tcW w:w="140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auto"/>
                <w:kern w:val="0"/>
                <w:sz w:val="24"/>
                <w:szCs w:val="24"/>
                <w:shd w:val="clear" w:color="auto" w:fill="auto"/>
                <w:lang w:val="zh-TW" w:eastAsia="zh-TW" w:bidi="zh-TW"/>
              </w:rPr>
            </w:pPr>
            <w:r>
              <w:rPr>
                <w:rFonts w:hint="eastAsia" w:ascii="宋体" w:hAnsi="宋体" w:eastAsia="宋体" w:cs="宋体"/>
                <w:color w:val="auto"/>
                <w:kern w:val="0"/>
                <w:sz w:val="24"/>
                <w:szCs w:val="24"/>
                <w:shd w:val="clear" w:color="auto" w:fill="auto"/>
              </w:rPr>
              <w:t>033515</w:t>
            </w:r>
          </w:p>
        </w:tc>
        <w:tc>
          <w:tcPr>
            <w:tcW w:w="1237"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4"/>
                <w:szCs w:val="24"/>
                <w:shd w:val="clear" w:color="auto" w:fill="auto"/>
                <w:lang w:val="zh-TW" w:eastAsia="zh-CN" w:bidi="zh-TW"/>
              </w:rPr>
            </w:pPr>
            <w:r>
              <w:rPr>
                <w:rFonts w:hint="eastAsia" w:ascii="宋体" w:hAnsi="宋体" w:eastAsia="宋体" w:cs="宋体"/>
                <w:color w:val="auto"/>
                <w:kern w:val="2"/>
                <w:sz w:val="24"/>
                <w:szCs w:val="24"/>
                <w:shd w:val="clear" w:color="auto" w:fill="auto"/>
                <w:lang w:eastAsia="zh-CN"/>
              </w:rPr>
              <w:t>化工工艺</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任长江</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1600000000200301</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028500</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自动化</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梁淑君</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S011044000110192002611</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037285</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化工机械</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color w:val="auto"/>
                <w:kern w:val="2"/>
                <w:sz w:val="24"/>
                <w:szCs w:val="24"/>
                <w:shd w:val="clear" w:color="auto" w:fill="auto"/>
                <w:lang w:val="en-US" w:eastAsia="zh-CN"/>
              </w:rPr>
              <w:t>呼达</w:t>
            </w:r>
          </w:p>
        </w:tc>
        <w:tc>
          <w:tcPr>
            <w:tcW w:w="2940"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color w:val="auto"/>
                <w:kern w:val="2"/>
                <w:sz w:val="24"/>
                <w:szCs w:val="24"/>
                <w:shd w:val="clear" w:color="auto" w:fill="auto"/>
                <w:lang w:val="en-US" w:eastAsia="zh-CN"/>
              </w:rPr>
              <w:t>1800000000300982</w:t>
            </w:r>
          </w:p>
        </w:tc>
        <w:tc>
          <w:tcPr>
            <w:tcW w:w="1408"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color w:val="auto"/>
                <w:kern w:val="2"/>
                <w:sz w:val="24"/>
                <w:szCs w:val="24"/>
                <w:shd w:val="clear" w:color="auto" w:fill="auto"/>
                <w:lang w:val="en-US" w:eastAsia="zh-CN"/>
              </w:rPr>
              <w:t>033591</w:t>
            </w:r>
          </w:p>
        </w:tc>
        <w:tc>
          <w:tcPr>
            <w:tcW w:w="1237"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4"/>
                <w:szCs w:val="24"/>
                <w:shd w:val="clear" w:color="auto" w:fill="auto"/>
                <w:lang w:val="zh-TW" w:eastAsia="zh-CN" w:bidi="zh-TW"/>
              </w:rPr>
            </w:pPr>
            <w:r>
              <w:rPr>
                <w:rFonts w:hint="eastAsia" w:ascii="宋体" w:hAnsi="宋体" w:eastAsia="宋体" w:cs="宋体"/>
                <w:color w:val="auto"/>
                <w:kern w:val="2"/>
                <w:sz w:val="24"/>
                <w:szCs w:val="24"/>
                <w:shd w:val="clear" w:color="auto" w:fill="auto"/>
                <w:lang w:eastAsia="zh-CN"/>
              </w:rPr>
              <w:t>安全</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vMerge w:val="continue"/>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颜松桦</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0800000000303985</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bidi="zh-TW"/>
              </w:rPr>
            </w:pPr>
            <w:r>
              <w:rPr>
                <w:rFonts w:hint="eastAsia" w:ascii="宋体" w:hAnsi="宋体" w:eastAsia="宋体" w:cs="宋体"/>
                <w:i w:val="0"/>
                <w:iCs w:val="0"/>
                <w:color w:val="auto"/>
                <w:kern w:val="0"/>
                <w:sz w:val="24"/>
                <w:szCs w:val="24"/>
                <w:u w:val="none"/>
                <w:lang w:val="en-US" w:eastAsia="zh-CN" w:bidi="ar"/>
              </w:rPr>
              <w:t>017989</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zh-TW" w:eastAsia="zh-TW" w:bidi="zh-TW"/>
              </w:rPr>
            </w:pPr>
            <w:r>
              <w:rPr>
                <w:rFonts w:hint="eastAsia" w:ascii="宋体" w:hAnsi="宋体" w:eastAsia="宋体" w:cs="宋体"/>
                <w:i w:val="0"/>
                <w:iCs w:val="0"/>
                <w:color w:val="auto"/>
                <w:kern w:val="0"/>
                <w:sz w:val="24"/>
                <w:szCs w:val="24"/>
                <w:u w:val="none"/>
                <w:lang w:val="en-US" w:eastAsia="zh-CN" w:bidi="ar"/>
              </w:rPr>
              <w:t>电气</w:t>
            </w:r>
          </w:p>
        </w:tc>
        <w:tc>
          <w:tcPr>
            <w:tcW w:w="106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报告审核人</w:t>
            </w:r>
          </w:p>
        </w:tc>
        <w:tc>
          <w:tcPr>
            <w:tcW w:w="1103"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段长锋</w:t>
            </w:r>
          </w:p>
        </w:tc>
        <w:tc>
          <w:tcPr>
            <w:tcW w:w="2940"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1200000000200384</w:t>
            </w:r>
          </w:p>
        </w:tc>
        <w:tc>
          <w:tcPr>
            <w:tcW w:w="1408"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023267</w:t>
            </w:r>
          </w:p>
        </w:tc>
        <w:tc>
          <w:tcPr>
            <w:tcW w:w="1237"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color w:val="auto"/>
                <w:kern w:val="2"/>
                <w:sz w:val="24"/>
                <w:szCs w:val="24"/>
                <w:shd w:val="clear" w:color="auto" w:fill="auto"/>
                <w:lang w:eastAsia="zh-CN"/>
              </w:rPr>
            </w:pPr>
            <w:r>
              <w:rPr>
                <w:rFonts w:hint="eastAsia" w:ascii="宋体" w:hAnsi="宋体" w:eastAsia="宋体" w:cs="宋体"/>
                <w:color w:val="auto"/>
                <w:kern w:val="2"/>
                <w:sz w:val="24"/>
                <w:szCs w:val="24"/>
                <w:shd w:val="clear" w:color="auto" w:fill="auto"/>
                <w:lang w:eastAsia="zh-CN"/>
              </w:rPr>
              <w:t>安全</w:t>
            </w:r>
          </w:p>
        </w:tc>
        <w:tc>
          <w:tcPr>
            <w:tcW w:w="1069"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过程控制负责人</w:t>
            </w:r>
          </w:p>
        </w:tc>
        <w:tc>
          <w:tcPr>
            <w:tcW w:w="1103"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程军</w:t>
            </w:r>
          </w:p>
        </w:tc>
        <w:tc>
          <w:tcPr>
            <w:tcW w:w="29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1100000000200116</w:t>
            </w:r>
          </w:p>
        </w:tc>
        <w:tc>
          <w:tcPr>
            <w:tcW w:w="1408"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i w:val="0"/>
                <w:iCs w:val="0"/>
                <w:color w:val="auto"/>
                <w:kern w:val="0"/>
                <w:sz w:val="24"/>
                <w:szCs w:val="24"/>
                <w:u w:val="none"/>
                <w:lang w:val="en-US" w:eastAsia="zh-CN" w:bidi="ar"/>
              </w:rPr>
              <w:t>019388</w:t>
            </w:r>
          </w:p>
        </w:tc>
        <w:tc>
          <w:tcPr>
            <w:tcW w:w="123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2"/>
                <w:sz w:val="24"/>
                <w:szCs w:val="24"/>
                <w:shd w:val="clear" w:color="auto" w:fill="auto"/>
              </w:rPr>
            </w:pPr>
            <w:r>
              <w:rPr>
                <w:rFonts w:hint="eastAsia" w:ascii="宋体" w:hAnsi="宋体" w:eastAsia="宋体" w:cs="宋体"/>
                <w:i w:val="0"/>
                <w:iCs w:val="0"/>
                <w:color w:val="auto"/>
                <w:kern w:val="0"/>
                <w:sz w:val="24"/>
                <w:szCs w:val="24"/>
                <w:u w:val="none"/>
                <w:lang w:val="en-US" w:eastAsia="zh-CN" w:bidi="ar"/>
              </w:rPr>
              <w:t>安全</w:t>
            </w:r>
          </w:p>
        </w:tc>
        <w:tc>
          <w:tcPr>
            <w:tcW w:w="106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18"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b/>
                <w:bCs/>
                <w:color w:val="auto"/>
                <w:kern w:val="2"/>
                <w:sz w:val="24"/>
                <w:szCs w:val="24"/>
                <w:shd w:val="clear" w:color="auto" w:fill="auto"/>
              </w:rPr>
            </w:pPr>
            <w:r>
              <w:rPr>
                <w:rFonts w:hint="eastAsia" w:ascii="宋体" w:hAnsi="宋体" w:eastAsia="宋体" w:cs="宋体"/>
                <w:b/>
                <w:bCs/>
                <w:color w:val="auto"/>
                <w:kern w:val="2"/>
                <w:sz w:val="24"/>
                <w:szCs w:val="24"/>
                <w:shd w:val="clear" w:color="auto" w:fill="auto"/>
              </w:rPr>
              <w:t>技术负责人</w:t>
            </w:r>
          </w:p>
        </w:tc>
        <w:tc>
          <w:tcPr>
            <w:tcW w:w="1103"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刘钢</w:t>
            </w:r>
          </w:p>
        </w:tc>
        <w:tc>
          <w:tcPr>
            <w:tcW w:w="2940"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lang w:val="en-US" w:eastAsia="zh-CN"/>
              </w:rPr>
            </w:pPr>
            <w:r>
              <w:rPr>
                <w:rFonts w:hint="eastAsia" w:ascii="宋体" w:hAnsi="宋体" w:eastAsia="宋体" w:cs="宋体"/>
                <w:color w:val="auto"/>
                <w:kern w:val="2"/>
                <w:sz w:val="24"/>
                <w:szCs w:val="24"/>
                <w:shd w:val="clear" w:color="auto" w:fill="auto"/>
                <w:lang w:val="en-US" w:eastAsia="zh-CN"/>
              </w:rPr>
              <w:t>0800000000104350</w:t>
            </w:r>
          </w:p>
        </w:tc>
        <w:tc>
          <w:tcPr>
            <w:tcW w:w="1408" w:type="dxa"/>
            <w:noWrap w:val="0"/>
            <w:vAlign w:val="center"/>
          </w:tcPr>
          <w:p>
            <w:pPr>
              <w:keepNext w:val="0"/>
              <w:keepLines w:val="0"/>
              <w:suppressLineNumbers w:val="0"/>
              <w:spacing w:before="0" w:beforeAutospacing="0" w:after="0" w:afterAutospacing="0" w:line="260" w:lineRule="atLeast"/>
              <w:ind w:left="0" w:right="0"/>
              <w:jc w:val="center"/>
              <w:rPr>
                <w:rFonts w:hint="eastAsia" w:ascii="宋体" w:hAnsi="宋体" w:eastAsia="宋体" w:cs="宋体"/>
                <w:color w:val="auto"/>
                <w:kern w:val="2"/>
                <w:sz w:val="24"/>
                <w:szCs w:val="24"/>
                <w:shd w:val="clear" w:color="auto" w:fill="auto"/>
              </w:rPr>
            </w:pPr>
            <w:r>
              <w:rPr>
                <w:rFonts w:hint="eastAsia" w:ascii="宋体" w:hAnsi="宋体" w:eastAsia="宋体" w:cs="宋体"/>
                <w:color w:val="auto"/>
                <w:kern w:val="2"/>
                <w:sz w:val="24"/>
                <w:szCs w:val="24"/>
                <w:shd w:val="clear" w:color="auto" w:fill="auto"/>
                <w:lang w:val="en-US" w:eastAsia="zh-CN"/>
              </w:rPr>
              <w:t>006002</w:t>
            </w:r>
          </w:p>
        </w:tc>
        <w:tc>
          <w:tcPr>
            <w:tcW w:w="1237"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4"/>
                <w:szCs w:val="24"/>
                <w:shd w:val="clear" w:color="auto" w:fill="auto"/>
                <w:lang w:eastAsia="zh-CN"/>
              </w:rPr>
            </w:pPr>
            <w:r>
              <w:rPr>
                <w:rFonts w:hint="eastAsia" w:ascii="宋体" w:hAnsi="宋体" w:eastAsia="宋体" w:cs="宋体"/>
                <w:color w:val="auto"/>
                <w:kern w:val="2"/>
                <w:sz w:val="24"/>
                <w:szCs w:val="24"/>
                <w:shd w:val="clear" w:color="auto" w:fill="auto"/>
                <w:lang w:eastAsia="zh-CN"/>
              </w:rPr>
              <w:t>化工机械</w:t>
            </w:r>
          </w:p>
        </w:tc>
        <w:tc>
          <w:tcPr>
            <w:tcW w:w="106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4"/>
                <w:szCs w:val="24"/>
                <w:shd w:val="clear" w:color="auto" w:fill="auto"/>
              </w:rPr>
            </w:pPr>
          </w:p>
        </w:tc>
      </w:tr>
    </w:tbl>
    <w:p>
      <w:pPr>
        <w:widowControl/>
        <w:spacing w:line="560" w:lineRule="exact"/>
        <w:rPr>
          <w:rFonts w:ascii="仿宋_GB2312" w:eastAsia="仿宋_GB2312"/>
          <w:b/>
          <w:color w:val="auto"/>
          <w:sz w:val="32"/>
          <w:lang w:eastAsia="zh-CN"/>
        </w:rPr>
        <w:sectPr>
          <w:pgSz w:w="11900" w:h="16840"/>
          <w:pgMar w:top="1560" w:right="1080" w:bottom="1440" w:left="1080" w:header="851" w:footer="376" w:gutter="0"/>
          <w:cols w:space="720" w:num="1"/>
          <w:docGrid w:linePitch="360" w:charSpace="0"/>
        </w:sectPr>
      </w:pPr>
    </w:p>
    <w:p>
      <w:pPr>
        <w:rPr>
          <w:rFonts w:ascii="宋体" w:hAnsi="宋体" w:eastAsia="宋体"/>
          <w:b/>
          <w:color w:val="auto"/>
          <w:sz w:val="32"/>
          <w:szCs w:val="32"/>
        </w:rPr>
      </w:pPr>
      <w:r>
        <w:rPr>
          <w:rFonts w:ascii="宋体" w:hAnsi="宋体" w:eastAsia="宋体"/>
          <w:b/>
          <w:color w:val="auto"/>
          <w:sz w:val="32"/>
          <w:szCs w:val="32"/>
        </w:rPr>
        <w:br w:type="page"/>
      </w:r>
    </w:p>
    <w:p>
      <w:pPr>
        <w:spacing w:line="600" w:lineRule="exact"/>
        <w:jc w:val="center"/>
        <w:rPr>
          <w:rFonts w:ascii="宋体" w:hAnsi="宋体" w:eastAsia="宋体"/>
          <w:b/>
          <w:color w:val="auto"/>
          <w:sz w:val="32"/>
          <w:szCs w:val="32"/>
        </w:rPr>
      </w:pPr>
      <w:r>
        <w:rPr>
          <w:rFonts w:ascii="宋体" w:hAnsi="宋体" w:eastAsia="宋体"/>
          <w:b/>
          <w:color w:val="auto"/>
          <w:sz w:val="32"/>
          <w:szCs w:val="32"/>
        </w:rPr>
        <w:t>前言</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东莞优诺电子焊接材料有限公司（以下简称“优诺公司”或该公司）</w:t>
      </w:r>
      <w:r>
        <w:rPr>
          <w:rFonts w:ascii="宋体" w:hAnsi="宋体" w:eastAsia="宋体"/>
          <w:color w:val="auto"/>
          <w:sz w:val="28"/>
          <w:szCs w:val="28"/>
        </w:rPr>
        <w:t>于</w:t>
      </w:r>
      <w:r>
        <w:rPr>
          <w:rFonts w:hint="eastAsia" w:ascii="宋体" w:hAnsi="宋体" w:eastAsia="宋体"/>
          <w:color w:val="auto"/>
          <w:sz w:val="28"/>
          <w:szCs w:val="28"/>
          <w:lang w:val="en-US" w:eastAsia="zh-CN"/>
        </w:rPr>
        <w:t>2005</w:t>
      </w:r>
      <w:r>
        <w:rPr>
          <w:rFonts w:ascii="宋体" w:hAnsi="宋体" w:eastAsia="宋体"/>
          <w:color w:val="auto"/>
          <w:sz w:val="28"/>
          <w:szCs w:val="28"/>
        </w:rPr>
        <w:t>年</w:t>
      </w:r>
      <w:r>
        <w:rPr>
          <w:rFonts w:hint="eastAsia" w:ascii="宋体" w:hAnsi="宋体" w:eastAsia="宋体"/>
          <w:color w:val="auto"/>
          <w:sz w:val="28"/>
          <w:szCs w:val="28"/>
          <w:lang w:eastAsia="zh-CN"/>
        </w:rPr>
        <w:t>0</w:t>
      </w:r>
      <w:r>
        <w:rPr>
          <w:rFonts w:hint="eastAsia" w:ascii="宋体" w:hAnsi="宋体" w:eastAsia="宋体"/>
          <w:color w:val="auto"/>
          <w:sz w:val="28"/>
          <w:szCs w:val="28"/>
          <w:lang w:val="en-US" w:eastAsia="zh-CN"/>
        </w:rPr>
        <w:t>3</w:t>
      </w:r>
      <w:r>
        <w:rPr>
          <w:rFonts w:ascii="宋体" w:hAnsi="宋体" w:eastAsia="宋体"/>
          <w:color w:val="auto"/>
          <w:sz w:val="28"/>
          <w:szCs w:val="28"/>
        </w:rPr>
        <w:t>月</w:t>
      </w:r>
      <w:r>
        <w:rPr>
          <w:rFonts w:hint="eastAsia" w:ascii="宋体" w:hAnsi="宋体" w:eastAsia="宋体"/>
          <w:color w:val="auto"/>
          <w:sz w:val="28"/>
          <w:szCs w:val="28"/>
          <w:lang w:val="en-US" w:eastAsia="zh-CN"/>
        </w:rPr>
        <w:t>10</w:t>
      </w:r>
      <w:r>
        <w:rPr>
          <w:rFonts w:ascii="宋体" w:hAnsi="宋体" w:eastAsia="宋体"/>
          <w:color w:val="auto"/>
          <w:sz w:val="28"/>
          <w:szCs w:val="28"/>
        </w:rPr>
        <w:t>日在</w:t>
      </w:r>
      <w:r>
        <w:rPr>
          <w:rFonts w:hint="eastAsia" w:ascii="宋体" w:hAnsi="宋体" w:eastAsia="宋体"/>
          <w:color w:val="auto"/>
          <w:sz w:val="28"/>
          <w:szCs w:val="28"/>
          <w:lang w:eastAsia="zh-CN"/>
        </w:rPr>
        <w:t>东莞市市场监督管理局</w:t>
      </w:r>
      <w:r>
        <w:rPr>
          <w:rFonts w:ascii="宋体" w:hAnsi="宋体" w:eastAsia="宋体"/>
          <w:color w:val="auto"/>
          <w:sz w:val="28"/>
          <w:szCs w:val="28"/>
        </w:rPr>
        <w:t>注册成立，统一社会信用代码：</w:t>
      </w:r>
      <w:r>
        <w:rPr>
          <w:rFonts w:hint="eastAsia" w:ascii="宋体" w:hAnsi="宋体" w:eastAsia="宋体"/>
          <w:color w:val="auto"/>
          <w:sz w:val="28"/>
          <w:szCs w:val="28"/>
          <w:lang w:eastAsia="zh-CN"/>
        </w:rPr>
        <w:t>9144190077</w:t>
      </w:r>
    </w:p>
    <w:p>
      <w:pPr>
        <w:spacing w:line="360" w:lineRule="auto"/>
        <w:jc w:val="both"/>
        <w:rPr>
          <w:rFonts w:ascii="宋体" w:hAnsi="宋体" w:eastAsia="宋体"/>
          <w:color w:val="auto"/>
          <w:sz w:val="28"/>
          <w:szCs w:val="28"/>
        </w:rPr>
      </w:pPr>
      <w:r>
        <w:rPr>
          <w:rFonts w:hint="eastAsia" w:ascii="宋体" w:hAnsi="宋体" w:eastAsia="宋体"/>
          <w:color w:val="auto"/>
          <w:sz w:val="28"/>
          <w:szCs w:val="28"/>
          <w:lang w:eastAsia="zh-CN"/>
        </w:rPr>
        <w:t>18688951</w:t>
      </w:r>
      <w:r>
        <w:rPr>
          <w:rFonts w:ascii="宋体" w:hAnsi="宋体" w:eastAsia="宋体"/>
          <w:color w:val="auto"/>
          <w:sz w:val="28"/>
          <w:szCs w:val="28"/>
        </w:rPr>
        <w:t>；类型：</w:t>
      </w:r>
      <w:r>
        <w:rPr>
          <w:rFonts w:hint="eastAsia" w:ascii="宋体" w:hAnsi="宋体" w:eastAsia="宋体"/>
          <w:color w:val="auto"/>
          <w:sz w:val="28"/>
          <w:szCs w:val="28"/>
          <w:lang w:eastAsia="zh-CN"/>
        </w:rPr>
        <w:t>有限责任公司（法人独资）</w:t>
      </w:r>
      <w:r>
        <w:rPr>
          <w:rFonts w:ascii="宋体" w:hAnsi="宋体" w:eastAsia="宋体"/>
          <w:color w:val="auto"/>
          <w:sz w:val="28"/>
          <w:szCs w:val="28"/>
        </w:rPr>
        <w:t>；住所：</w:t>
      </w:r>
      <w:r>
        <w:rPr>
          <w:rFonts w:hint="eastAsia" w:ascii="宋体" w:hAnsi="宋体" w:eastAsia="宋体"/>
          <w:color w:val="auto"/>
          <w:sz w:val="28"/>
          <w:szCs w:val="28"/>
          <w:lang w:eastAsia="zh-CN"/>
        </w:rPr>
        <w:t>广东省东莞市大岭山镇太公岭园山街10号1号楼</w:t>
      </w:r>
      <w:r>
        <w:rPr>
          <w:rFonts w:ascii="宋体" w:hAnsi="宋体" w:eastAsia="宋体"/>
          <w:color w:val="auto"/>
          <w:sz w:val="28"/>
          <w:szCs w:val="28"/>
        </w:rPr>
        <w:t>；法定代表人：</w:t>
      </w:r>
      <w:r>
        <w:rPr>
          <w:rFonts w:hint="eastAsia" w:ascii="宋体" w:hAnsi="宋体" w:eastAsia="宋体"/>
          <w:color w:val="auto"/>
          <w:sz w:val="28"/>
          <w:szCs w:val="28"/>
          <w:lang w:eastAsia="zh-CN"/>
        </w:rPr>
        <w:t>白映月</w:t>
      </w:r>
      <w:r>
        <w:rPr>
          <w:rFonts w:ascii="宋体" w:hAnsi="宋体" w:eastAsia="宋体"/>
          <w:color w:val="auto"/>
          <w:sz w:val="28"/>
          <w:szCs w:val="28"/>
        </w:rPr>
        <w:t>；注册资本：人民币</w:t>
      </w:r>
      <w:r>
        <w:rPr>
          <w:rFonts w:hint="eastAsia" w:ascii="宋体" w:hAnsi="宋体" w:eastAsia="宋体"/>
          <w:color w:val="auto"/>
          <w:sz w:val="28"/>
          <w:szCs w:val="28"/>
          <w:lang w:eastAsia="zh-CN"/>
        </w:rPr>
        <w:t>壹仟肆佰壹拾玖万壹仟柒佰陆拾肆元</w:t>
      </w:r>
      <w:r>
        <w:rPr>
          <w:rFonts w:ascii="宋体" w:hAnsi="宋体" w:eastAsia="宋体"/>
          <w:color w:val="auto"/>
          <w:sz w:val="28"/>
          <w:szCs w:val="28"/>
        </w:rPr>
        <w:t>。企业于</w:t>
      </w:r>
      <w:r>
        <w:rPr>
          <w:rFonts w:hint="eastAsia" w:ascii="宋体" w:hAnsi="宋体" w:eastAsia="宋体"/>
          <w:color w:val="auto"/>
          <w:sz w:val="28"/>
          <w:szCs w:val="28"/>
          <w:lang w:eastAsia="zh-CN"/>
        </w:rPr>
        <w:t>20</w:t>
      </w:r>
      <w:r>
        <w:rPr>
          <w:rFonts w:hint="eastAsia" w:ascii="宋体" w:hAnsi="宋体" w:eastAsia="宋体"/>
          <w:color w:val="auto"/>
          <w:sz w:val="28"/>
          <w:szCs w:val="28"/>
          <w:lang w:val="en-US" w:eastAsia="zh-CN"/>
        </w:rPr>
        <w:t>18</w:t>
      </w:r>
      <w:r>
        <w:rPr>
          <w:rFonts w:ascii="宋体" w:hAnsi="宋体" w:eastAsia="宋体"/>
          <w:color w:val="auto"/>
          <w:sz w:val="28"/>
          <w:szCs w:val="28"/>
        </w:rPr>
        <w:t>年</w:t>
      </w:r>
      <w:r>
        <w:rPr>
          <w:rFonts w:hint="eastAsia" w:ascii="宋体" w:hAnsi="宋体" w:eastAsia="宋体"/>
          <w:color w:val="auto"/>
          <w:sz w:val="28"/>
          <w:szCs w:val="28"/>
          <w:lang w:val="en-US" w:eastAsia="zh-CN"/>
        </w:rPr>
        <w:t>08</w:t>
      </w:r>
      <w:r>
        <w:rPr>
          <w:rFonts w:ascii="宋体" w:hAnsi="宋体" w:eastAsia="宋体"/>
          <w:color w:val="auto"/>
          <w:sz w:val="28"/>
          <w:szCs w:val="28"/>
        </w:rPr>
        <w:t>月</w:t>
      </w:r>
      <w:r>
        <w:rPr>
          <w:rFonts w:hint="eastAsia" w:ascii="宋体" w:hAnsi="宋体" w:eastAsia="宋体"/>
          <w:color w:val="auto"/>
          <w:sz w:val="28"/>
          <w:szCs w:val="28"/>
          <w:lang w:val="en-US" w:eastAsia="zh-CN"/>
        </w:rPr>
        <w:t>01</w:t>
      </w:r>
      <w:r>
        <w:rPr>
          <w:rFonts w:ascii="宋体" w:hAnsi="宋体" w:eastAsia="宋体"/>
          <w:color w:val="auto"/>
          <w:sz w:val="28"/>
          <w:szCs w:val="28"/>
        </w:rPr>
        <w:t>日取得了</w:t>
      </w:r>
      <w:r>
        <w:rPr>
          <w:rFonts w:hint="eastAsia" w:ascii="宋体" w:hAnsi="宋体" w:eastAsia="宋体"/>
          <w:color w:val="auto"/>
          <w:sz w:val="28"/>
          <w:szCs w:val="28"/>
          <w:lang w:eastAsia="zh-CN"/>
        </w:rPr>
        <w:t>原东莞市安全生产监督管理局</w:t>
      </w:r>
      <w:r>
        <w:rPr>
          <w:rFonts w:ascii="宋体" w:hAnsi="宋体" w:eastAsia="宋体"/>
          <w:color w:val="auto"/>
          <w:sz w:val="28"/>
          <w:szCs w:val="28"/>
        </w:rPr>
        <w:t>核发的《安全生产许可证》，编号：(</w:t>
      </w:r>
      <w:r>
        <w:rPr>
          <w:rFonts w:hint="eastAsia" w:ascii="宋体" w:hAnsi="宋体" w:eastAsia="宋体"/>
          <w:color w:val="auto"/>
          <w:sz w:val="28"/>
          <w:szCs w:val="28"/>
          <w:lang w:eastAsia="zh-CN"/>
        </w:rPr>
        <w:t>（粤东）WH安许证字[2018]000023</w:t>
      </w:r>
      <w:r>
        <w:rPr>
          <w:rFonts w:ascii="宋体" w:hAnsi="宋体" w:eastAsia="宋体"/>
          <w:color w:val="auto"/>
          <w:sz w:val="28"/>
          <w:szCs w:val="28"/>
        </w:rPr>
        <w:t>，许可范围：</w:t>
      </w:r>
      <w:r>
        <w:rPr>
          <w:rFonts w:hint="eastAsia" w:ascii="宋体" w:hAnsi="宋体" w:eastAsia="宋体"/>
          <w:color w:val="auto"/>
          <w:sz w:val="28"/>
          <w:szCs w:val="28"/>
          <w:lang w:val="en-US" w:eastAsia="zh-CN"/>
        </w:rPr>
        <w:t>2-丙醇（111）180吨/年、含易燃溶剂的合成树脂、油漆、辅助材料、涂料等制品[闭杯闪点≤60℃]（2828），快干助焊剂700吨/年、清洗剂120吨/年***</w:t>
      </w:r>
      <w:r>
        <w:rPr>
          <w:rFonts w:ascii="宋体" w:hAnsi="宋体" w:eastAsia="宋体"/>
          <w:color w:val="auto"/>
          <w:sz w:val="28"/>
          <w:szCs w:val="28"/>
        </w:rPr>
        <w:t>，有效期至20</w:t>
      </w:r>
      <w:r>
        <w:rPr>
          <w:rFonts w:hint="eastAsia" w:ascii="宋体" w:hAnsi="宋体" w:eastAsia="宋体"/>
          <w:color w:val="auto"/>
          <w:sz w:val="28"/>
          <w:szCs w:val="28"/>
          <w:lang w:eastAsia="zh-CN"/>
        </w:rPr>
        <w:t>2</w:t>
      </w:r>
      <w:r>
        <w:rPr>
          <w:rFonts w:hint="eastAsia" w:ascii="宋体" w:hAnsi="宋体" w:eastAsia="宋体"/>
          <w:color w:val="auto"/>
          <w:sz w:val="28"/>
          <w:szCs w:val="28"/>
          <w:lang w:val="en-US" w:eastAsia="zh-CN"/>
        </w:rPr>
        <w:t>1</w:t>
      </w:r>
      <w:r>
        <w:rPr>
          <w:rFonts w:ascii="宋体" w:hAnsi="宋体" w:eastAsia="宋体"/>
          <w:color w:val="auto"/>
          <w:sz w:val="28"/>
          <w:szCs w:val="28"/>
        </w:rPr>
        <w:t>年</w:t>
      </w:r>
      <w:r>
        <w:rPr>
          <w:rFonts w:hint="eastAsia" w:ascii="宋体" w:hAnsi="宋体" w:eastAsia="宋体"/>
          <w:color w:val="auto"/>
          <w:sz w:val="28"/>
          <w:szCs w:val="28"/>
          <w:lang w:val="en-US" w:eastAsia="zh-CN"/>
        </w:rPr>
        <w:t>07</w:t>
      </w:r>
      <w:r>
        <w:rPr>
          <w:rFonts w:ascii="宋体" w:hAnsi="宋体" w:eastAsia="宋体"/>
          <w:color w:val="auto"/>
          <w:sz w:val="28"/>
          <w:szCs w:val="28"/>
        </w:rPr>
        <w:t>月</w:t>
      </w:r>
      <w:r>
        <w:rPr>
          <w:rFonts w:hint="eastAsia" w:ascii="宋体" w:hAnsi="宋体" w:eastAsia="宋体"/>
          <w:color w:val="auto"/>
          <w:sz w:val="28"/>
          <w:szCs w:val="28"/>
          <w:lang w:val="en-US" w:eastAsia="zh-CN"/>
        </w:rPr>
        <w:t>31</w:t>
      </w:r>
      <w:r>
        <w:rPr>
          <w:rFonts w:ascii="宋体" w:hAnsi="宋体" w:eastAsia="宋体"/>
          <w:color w:val="auto"/>
          <w:sz w:val="28"/>
          <w:szCs w:val="28"/>
        </w:rPr>
        <w:t>日。</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根据《中华人民共和国安全生产法》(中华人民共和国主席令第13号)、《危险化学品安全管理条例》(中华人民共和国国务院令第591号，国务院令645号修订)、《危险化学品生产企业安全生产许可证实施办法》(安监总局令第41号，安监总局令第79号修改)、《关于认真贯彻危险化学品生产企业安全生产许可证实施办法的通知》(粤安监管三〔2011〕44号)、《关于认真贯彻危险化学品生产企业安全生产许可证实施办法的补充通知》(粤安监〔2012〕56号)等法律法规的要求，企业申请延期换取安全生产许可证，应当依法进行安全评价，因此，</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rPr>
        <w:t>委托</w:t>
      </w:r>
      <w:r>
        <w:rPr>
          <w:rFonts w:hint="eastAsia" w:ascii="宋体" w:hAnsi="宋体" w:eastAsia="宋体"/>
          <w:color w:val="auto"/>
          <w:sz w:val="28"/>
          <w:szCs w:val="28"/>
          <w:lang w:eastAsia="zh-CN"/>
        </w:rPr>
        <w:t>广东安源鼎盛检测评价技术服务有限公司</w:t>
      </w:r>
      <w:r>
        <w:rPr>
          <w:rFonts w:ascii="宋体" w:hAnsi="宋体" w:eastAsia="宋体"/>
          <w:color w:val="auto"/>
          <w:sz w:val="28"/>
          <w:szCs w:val="28"/>
        </w:rPr>
        <w:t>对其延期换证进行安全评价服务。</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广东安源鼎盛检测评价技术服务有限公司承接了</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rPr>
        <w:t>危险化学品生产现状评价技术服务项目以后，成立了安全评价工作组，评价组根据相关的法律、法规、标准规范，对企业进行了细致的检查，对相关技术资料进行了分析，查找该公司在生产过程中存在的潜在危险和有害因素，并进行了定性、定量分析评价，对生产中可能出现的危险化学品事故进行了分析预测，对该公司安全生产现状的不足之处提出具体的整改措施和安全对策措施，作出评价结论。本报告依据《安全评价通则》(AQ8001-2007)、《危险化学品生产企业安全评价导则(试行)》(安监管危化字[2004]127号)的要求编制完成。</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本报告的文件与资料由</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rPr>
        <w:t>提供，该公司对其所提供的文件与资料内容的真实性负责。</w:t>
      </w:r>
    </w:p>
    <w:p>
      <w:pPr>
        <w:spacing w:line="600" w:lineRule="exact"/>
        <w:ind w:firstLine="425" w:firstLineChars="152"/>
        <w:rPr>
          <w:rFonts w:ascii="宋体" w:hAnsi="宋体" w:eastAsia="宋体"/>
          <w:color w:val="auto"/>
          <w:sz w:val="28"/>
          <w:szCs w:val="28"/>
          <w:lang w:eastAsia="zh-CN"/>
        </w:rPr>
      </w:pPr>
    </w:p>
    <w:p>
      <w:pPr>
        <w:spacing w:line="600" w:lineRule="exact"/>
        <w:ind w:firstLine="425" w:firstLineChars="152"/>
        <w:rPr>
          <w:rFonts w:ascii="宋体" w:hAnsi="宋体" w:eastAsia="宋体"/>
          <w:color w:val="auto"/>
          <w:sz w:val="28"/>
          <w:szCs w:val="28"/>
        </w:rPr>
      </w:pPr>
    </w:p>
    <w:p>
      <w:pPr>
        <w:spacing w:line="600" w:lineRule="exact"/>
        <w:ind w:firstLine="425" w:firstLineChars="152"/>
        <w:rPr>
          <w:rFonts w:ascii="宋体" w:hAnsi="宋体" w:eastAsia="宋体"/>
          <w:color w:val="auto"/>
          <w:sz w:val="28"/>
          <w:szCs w:val="28"/>
        </w:rPr>
      </w:pPr>
    </w:p>
    <w:p>
      <w:pPr>
        <w:spacing w:line="600" w:lineRule="exact"/>
        <w:ind w:firstLine="425" w:firstLineChars="152"/>
        <w:rPr>
          <w:rFonts w:ascii="宋体" w:hAnsi="宋体" w:eastAsia="宋体"/>
          <w:color w:val="auto"/>
          <w:sz w:val="28"/>
          <w:szCs w:val="28"/>
        </w:rPr>
      </w:pPr>
    </w:p>
    <w:p>
      <w:pPr>
        <w:spacing w:line="600" w:lineRule="exact"/>
        <w:ind w:firstLine="425" w:firstLineChars="152"/>
        <w:rPr>
          <w:rFonts w:ascii="宋体" w:hAnsi="宋体" w:eastAsia="宋体"/>
          <w:color w:val="auto"/>
          <w:sz w:val="28"/>
          <w:szCs w:val="28"/>
        </w:rPr>
      </w:pPr>
    </w:p>
    <w:p>
      <w:pPr>
        <w:spacing w:line="600" w:lineRule="exact"/>
        <w:jc w:val="center"/>
        <w:rPr>
          <w:rFonts w:ascii="宋体" w:hAnsi="宋体" w:eastAsia="宋体"/>
          <w:b/>
          <w:color w:val="auto"/>
          <w:sz w:val="32"/>
          <w:szCs w:val="32"/>
        </w:rPr>
      </w:pPr>
      <w:bookmarkStart w:id="1" w:name="bookmark2"/>
      <w:r>
        <w:rPr>
          <w:rFonts w:ascii="宋体" w:hAnsi="宋体" w:eastAsia="宋体"/>
          <w:b/>
          <w:color w:val="auto"/>
          <w:sz w:val="32"/>
          <w:szCs w:val="32"/>
        </w:rPr>
        <w:br w:type="page"/>
      </w:r>
    </w:p>
    <w:p>
      <w:pPr>
        <w:spacing w:line="360" w:lineRule="auto"/>
        <w:jc w:val="center"/>
        <w:rPr>
          <w:rFonts w:ascii="宋体" w:hAnsi="宋体" w:eastAsia="宋体"/>
          <w:b/>
          <w:color w:val="auto"/>
          <w:sz w:val="32"/>
          <w:szCs w:val="32"/>
        </w:rPr>
      </w:pPr>
      <w:r>
        <w:rPr>
          <w:rFonts w:ascii="宋体" w:hAnsi="宋体" w:eastAsia="宋体"/>
          <w:b/>
          <w:color w:val="auto"/>
          <w:sz w:val="32"/>
          <w:szCs w:val="32"/>
        </w:rPr>
        <w:t>非常用的术语、符号和代号说明</w:t>
      </w:r>
      <w:bookmarkEnd w:id="1"/>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安全评价：安全评价是以实现工程、系统安全为目的，应用安全系统工程原理和方法，对工程、系统中存在的危险、有害因素进行识别与分析，判断工程、系统发生事故和急性职业危害的可能性及其严重程度，提出安全对策建议，从而为工程、系统制定防范措施和管理决策提供科学依据。</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2、化学品：指各种化学元素、由元素组成的化合物及其混合物，包括天然的或者人造的。</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3、危险化学品：是指具有毒害、腐蚀、爆炸、燃烧、助燃等性质，对人体、设施、环境具有危害的剧毒化学品和其他化学品。</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4、安全设施：指企业(单位)要生产经营活动中将危险有害因素控制在安全范围内以预防、减少、消除危害所配备的装置(设备)和采取的措施。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5、作业场所：指可能使从业人员接触危险化学品的任何作业活动场所，包括从事危险化学品的生产、操作、处置、储存、搬运、运输、废弃危险化学品的处置等场所。</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6、危险因素：对人造成伤亡或者对物造成突发性损坏的因素。</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7、有害因素：影响人的身体健康，导致疾病或者对物造成慢性损坏的因素。</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8、危险程度：对人造成伤亡和对物造成突发性损坏的尺度。</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9、有害程度：影响人的身体健康，导致中毒、疾病或者对物造成慢性损坏的尺度。</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10、评价单元：根据被评价单位的实际情况和安全评价的需要而将被评价对象划分为一些相对独立部分进行安全评价，其中每个相对独立部分称为评价单元。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11、危险化学品重大危险源：是指长期地或者临时地生产、加工、使用或储存危险化学品，且危险化学品的数量等于或者超过临界量的单元。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12、防火间距：防止着火建筑的福射热在一定时间内引燃相邻建筑，且便于扑救的间隔距离。</w:t>
      </w:r>
    </w:p>
    <w:p>
      <w:pPr>
        <w:spacing w:line="360" w:lineRule="auto"/>
        <w:ind w:firstLine="425" w:firstLineChars="152"/>
        <w:jc w:val="both"/>
        <w:rPr>
          <w:rFonts w:ascii="宋体" w:hAnsi="宋体" w:eastAsia="PMingLiU"/>
          <w:color w:val="auto"/>
          <w:sz w:val="28"/>
          <w:szCs w:val="28"/>
        </w:rPr>
      </w:pPr>
      <w:r>
        <w:rPr>
          <w:rFonts w:ascii="宋体" w:hAnsi="宋体" w:eastAsia="宋体"/>
          <w:color w:val="auto"/>
          <w:sz w:val="28"/>
          <w:szCs w:val="28"/>
        </w:rPr>
        <w:t>13、闪点：在规定的试验条件下，液体挥发的蒸气与空气形成的混合物，遇火源能够闪燃的液体的最低温度(采用闭杯法测定)。</w:t>
      </w:r>
    </w:p>
    <w:p>
      <w:pPr>
        <w:spacing w:line="360" w:lineRule="auto"/>
        <w:ind w:firstLine="425" w:firstLineChars="152"/>
        <w:jc w:val="both"/>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spacing w:line="600" w:lineRule="exact"/>
        <w:jc w:val="center"/>
        <w:rPr>
          <w:rFonts w:ascii="宋体" w:hAnsi="宋体" w:eastAsia="宋体"/>
          <w:b/>
          <w:color w:val="auto"/>
          <w:sz w:val="32"/>
          <w:szCs w:val="32"/>
        </w:rPr>
      </w:pPr>
      <w:r>
        <w:rPr>
          <w:rFonts w:ascii="宋体" w:hAnsi="宋体" w:eastAsia="宋体"/>
          <w:b/>
          <w:color w:val="auto"/>
          <w:sz w:val="32"/>
          <w:szCs w:val="32"/>
        </w:rPr>
        <w:br w:type="page"/>
      </w:r>
    </w:p>
    <w:p>
      <w:pPr>
        <w:spacing w:line="600" w:lineRule="exact"/>
        <w:jc w:val="center"/>
        <w:rPr>
          <w:rFonts w:ascii="宋体" w:hAnsi="宋体" w:eastAsia="PMingLiU"/>
          <w:b/>
          <w:bCs w:val="0"/>
          <w:color w:val="auto"/>
          <w:sz w:val="32"/>
          <w:szCs w:val="32"/>
        </w:rPr>
      </w:pPr>
      <w:r>
        <w:rPr>
          <w:rFonts w:ascii="宋体" w:hAnsi="宋体" w:eastAsia="宋体"/>
          <w:b/>
          <w:bCs w:val="0"/>
          <w:color w:val="auto"/>
          <w:sz w:val="32"/>
          <w:szCs w:val="32"/>
        </w:rPr>
        <w:t>目录</w:t>
      </w:r>
    </w:p>
    <w:p>
      <w:pPr>
        <w:spacing w:line="600" w:lineRule="exact"/>
        <w:jc w:val="center"/>
        <w:rPr>
          <w:rFonts w:ascii="宋体" w:hAnsi="宋体" w:eastAsia="PMingLiU"/>
          <w:b/>
          <w:color w:val="auto"/>
          <w:sz w:val="32"/>
          <w:szCs w:val="32"/>
        </w:rPr>
      </w:pPr>
    </w:p>
    <w:p>
      <w:pPr>
        <w:pStyle w:val="32"/>
        <w:tabs>
          <w:tab w:val="right" w:leader="dot" w:pos="9740"/>
        </w:tabs>
        <w:rPr>
          <w:rFonts w:hint="eastAsia" w:ascii="宋体" w:hAnsi="宋体" w:eastAsia="宋体" w:cs="宋体"/>
          <w:color w:val="auto"/>
          <w:sz w:val="28"/>
          <w:szCs w:val="28"/>
        </w:rPr>
      </w:pPr>
      <w:bookmarkStart w:id="2" w:name="bookmark3"/>
      <w:bookmarkStart w:id="3" w:name="bookmark4"/>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TOC \o "1-2" \u </w:instrText>
      </w:r>
      <w:r>
        <w:rPr>
          <w:rFonts w:hint="eastAsia" w:ascii="宋体" w:hAnsi="宋体" w:eastAsia="宋体" w:cs="宋体"/>
          <w:color w:val="auto"/>
          <w:sz w:val="28"/>
          <w:szCs w:val="28"/>
        </w:rPr>
        <w:fldChar w:fldCharType="separate"/>
      </w:r>
      <w:r>
        <w:rPr>
          <w:rFonts w:hint="eastAsia" w:ascii="宋体" w:hAnsi="宋体" w:eastAsia="宋体" w:cs="宋体"/>
          <w:snapToGrid/>
          <w:color w:val="auto"/>
          <w:sz w:val="28"/>
          <w:szCs w:val="28"/>
        </w:rPr>
        <w:t>1编制说明</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_Toc32361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1.1评价目的</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_Toc16226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1.2评价依据</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_Toc29800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2被评价单位概况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_Toc19000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19</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2.1被评价单位基本情况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_Toc5139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19</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2.2危险化学品生产工艺装置、储存设施等基本情况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_Toc5841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26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2.3公用工程及辅助设施</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_Toc26392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30</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2.4主要安全卫生设施及技术措施</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_Toc16495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2.5安全管理概况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_Toc6869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2.6安全投入情况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_Toc18834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37</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3评价范围与内容</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_Toc28668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40</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3.1安全评价的对象</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_Toc24466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40</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3.2安全评价的范围</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_Toc14406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40</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4安全评价程序</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_Toc2038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41</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5评价单元的划分和评价方法的选择</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_Toc23279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42</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5.1评价单元的划分</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_Toc28057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42</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5.2评价方法的选择及确定</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_Toc24011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42</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6危险、有害因素分析结果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_Toc29658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6.1危险化学品危险特性分析结果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_Toc8236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6.2生产、储存过程危险的辨识结果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_Toc10347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6.3家明令淘汰的产品和危险工艺辨识结果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_Toc7680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45</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6.4国家监控的化学品辨识结果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_Toc12411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45</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6.5重点监管的化学品辨识结果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_Toc1224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45</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6.6易制毒化学品辨识结果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_Toc29777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45</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6.7易制爆化学品辨识结果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_Toc29017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6.8剧毒化学品辨识结果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_Toc9356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6.9重大危险源辨识结果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_Toc9344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6.10生产装置、设施与周边环境的影响分析结果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_Toc20138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46</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7定性、定量分析安全评价内容的结果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_Toc11785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48</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7.1安全检查表分析结果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_Toc8838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48</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7.2事故树分析结果</w:t>
      </w:r>
      <w:bookmarkStart w:id="228" w:name="_GoBack"/>
      <w:bookmarkEnd w:id="228"/>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_Toc18613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49</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7.3道化学火灾爆炸模拟分析结果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_Toc22753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50</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7.4危险度评价法评价结果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_Toc14114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50</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8可能发生的危险化学品事故的预测后果</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_Toc27456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52</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9企业安全生产情况专篇</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_Toc12469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53</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9.1安全生产法律法规及标准规范的执行情况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_Toc3997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53</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9.2安全生产条件符合情况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_Toc9982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53</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9.3日常安全生产管理情况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_Toc16063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9.4生产安全事故情况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_Toc12092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55</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9.5从业人员安全条件(安全教育培训)情况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_Toc567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9.6事故应急救援预案培训和演练情况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_Toc30943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57</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9.7生产范围、生产场所、生产装置、储存设施等发生变化情况</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_Toc28495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57</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9.8安全设施设备合规性专项评价</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_Toc16699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57</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10企业清净下水措施</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_Toc7793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60</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11对策措施与建议</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_Toc30162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61</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11.1存在的事故隐患及整改措施</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_Toc10962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61</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11.2建议补充的安全对策措施</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_Toc471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61</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11.3整改意见复查</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_Toc25701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64</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12安全评价结论</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_Toc26841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12.1归纳各部分危险分析结论</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_Toc28249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66</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12.2安全评价结论</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_Toc8117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68</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安全评价报告附件</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_Toc5819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69</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附件1危险、有害因素的分析过程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_Toc24136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69</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附件1.1危险化学品危险特性分析</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_Toc22513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69</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附件1.2生产、储存过程危险、有害因素辨识</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_Toc14197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82</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附件1.3工艺过程危险有害因素辨识</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_Toc15135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89</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附件1.4危险化学品重大危险源辨识</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_Toc29296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91</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附件2定性、定量分析过程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_Toc19136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94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附件2.1安全检查表</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_Toc14204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94</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附件2.2事故树分析法评价法</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_Toc32498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117</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附件2.3道化学火灾爆炸指数评价法</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_Toc29563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125</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附件2.4危险度评价法</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_Toc6480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134</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附件3可能发生的危险化学品事故的后果预测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_Toc12535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136</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附件4企业平面布置及四至图、工艺流程图、防爆区域划分图</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_Toc21568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138</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4.1被评价单位平面布置图及四至图、防爆区域划分图</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_Toc23191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138</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4.2工艺流程图</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_Toc10794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138</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4.3安全评价流程图</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_Toc14876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140</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附件5安全评价方法简介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_Toc23283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141</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附件5.1安全检查表法简介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_Toc24663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141</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附件5.2道化学火灾、爆炸指数评价法介绍</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_Toc19111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141</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附件5.3危险度评价法介绍</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_Toc17843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143</w:t>
      </w:r>
      <w:r>
        <w:rPr>
          <w:rFonts w:hint="eastAsia" w:ascii="宋体" w:hAnsi="宋体" w:eastAsia="宋体" w:cs="宋体"/>
          <w:color w:val="auto"/>
          <w:sz w:val="28"/>
          <w:szCs w:val="28"/>
        </w:rPr>
        <w:fldChar w:fldCharType="end"/>
      </w:r>
    </w:p>
    <w:p>
      <w:pPr>
        <w:pStyle w:val="37"/>
        <w:tabs>
          <w:tab w:val="right" w:leader="dot" w:pos="9740"/>
        </w:tabs>
        <w:rPr>
          <w:rFonts w:hint="eastAsia" w:ascii="宋体" w:hAnsi="宋体" w:eastAsia="宋体" w:cs="宋体"/>
          <w:color w:val="auto"/>
          <w:sz w:val="28"/>
          <w:szCs w:val="28"/>
        </w:rPr>
      </w:pPr>
      <w:r>
        <w:rPr>
          <w:rFonts w:hint="eastAsia" w:ascii="宋体" w:hAnsi="宋体" w:eastAsia="宋体" w:cs="宋体"/>
          <w:bCs/>
          <w:color w:val="auto"/>
          <w:kern w:val="2"/>
          <w:sz w:val="28"/>
          <w:szCs w:val="28"/>
          <w:lang w:val="en-US" w:eastAsia="zh-CN" w:bidi="ar-SA"/>
        </w:rPr>
        <w:t>附件5.4事故树分析法简介</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_Toc27206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143</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附件6法定检测情况汇总</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_Toc12373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146</w:t>
      </w:r>
      <w:r>
        <w:rPr>
          <w:rFonts w:hint="eastAsia" w:ascii="宋体" w:hAnsi="宋体" w:eastAsia="宋体" w:cs="宋体"/>
          <w:color w:val="auto"/>
          <w:sz w:val="28"/>
          <w:szCs w:val="28"/>
        </w:rPr>
        <w:fldChar w:fldCharType="end"/>
      </w:r>
    </w:p>
    <w:p>
      <w:pPr>
        <w:pStyle w:val="32"/>
        <w:tabs>
          <w:tab w:val="right" w:leader="dot" w:pos="9740"/>
        </w:tabs>
        <w:rPr>
          <w:rFonts w:hint="eastAsia" w:ascii="宋体" w:hAnsi="宋体" w:eastAsia="宋体" w:cs="宋体"/>
          <w:color w:val="auto"/>
          <w:sz w:val="28"/>
          <w:szCs w:val="28"/>
        </w:rPr>
      </w:pPr>
      <w:r>
        <w:rPr>
          <w:rFonts w:hint="eastAsia" w:ascii="宋体" w:hAnsi="宋体" w:eastAsia="宋体" w:cs="宋体"/>
          <w:snapToGrid/>
          <w:color w:val="auto"/>
          <w:sz w:val="28"/>
          <w:szCs w:val="28"/>
        </w:rPr>
        <w:t>附件7被评价单位提供的原始资料</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_Toc9219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147</w:t>
      </w:r>
      <w:r>
        <w:rPr>
          <w:rFonts w:hint="eastAsia" w:ascii="宋体" w:hAnsi="宋体" w:eastAsia="宋体" w:cs="宋体"/>
          <w:color w:val="auto"/>
          <w:sz w:val="28"/>
          <w:szCs w:val="28"/>
        </w:rPr>
        <w:fldChar w:fldCharType="end"/>
      </w:r>
    </w:p>
    <w:p>
      <w:pPr>
        <w:pStyle w:val="32"/>
        <w:tabs>
          <w:tab w:val="right" w:leader="dot" w:pos="9730"/>
        </w:tabs>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rPr>
        <w:fldChar w:fldCharType="end"/>
      </w:r>
    </w:p>
    <w:p>
      <w:pPr>
        <w:spacing w:line="600" w:lineRule="exact"/>
        <w:rPr>
          <w:color w:val="auto"/>
        </w:rPr>
      </w:pPr>
    </w:p>
    <w:p>
      <w:pPr>
        <w:spacing w:line="600" w:lineRule="exact"/>
        <w:rPr>
          <w:color w:val="auto"/>
        </w:rPr>
      </w:pPr>
    </w:p>
    <w:p>
      <w:pPr>
        <w:spacing w:line="600" w:lineRule="exact"/>
        <w:rPr>
          <w:color w:val="auto"/>
        </w:rPr>
      </w:pPr>
    </w:p>
    <w:p>
      <w:pPr>
        <w:spacing w:line="600" w:lineRule="exact"/>
        <w:jc w:val="center"/>
        <w:rPr>
          <w:rFonts w:ascii="宋体" w:hAnsi="宋体" w:eastAsia="宋体"/>
          <w:b/>
          <w:color w:val="auto"/>
          <w:sz w:val="32"/>
          <w:szCs w:val="32"/>
        </w:rPr>
        <w:sectPr>
          <w:pgSz w:w="11900" w:h="16840"/>
          <w:pgMar w:top="1560" w:right="1080" w:bottom="1440" w:left="1080" w:header="851" w:footer="376" w:gutter="0"/>
          <w:cols w:space="720" w:num="1"/>
          <w:docGrid w:linePitch="360" w:charSpace="0"/>
        </w:sectPr>
      </w:pPr>
    </w:p>
    <w:p>
      <w:pPr>
        <w:pStyle w:val="3"/>
        <w:spacing w:after="120" w:line="360" w:lineRule="auto"/>
        <w:rPr>
          <w:b/>
          <w:bCs/>
          <w:snapToGrid/>
          <w:color w:val="auto"/>
        </w:rPr>
      </w:pPr>
      <w:bookmarkStart w:id="4" w:name="_Toc32361"/>
      <w:r>
        <w:rPr>
          <w:b/>
          <w:bCs/>
          <w:snapToGrid/>
          <w:color w:val="auto"/>
        </w:rPr>
        <w:t>1编制说明</w:t>
      </w:r>
      <w:bookmarkEnd w:id="2"/>
      <w:bookmarkEnd w:id="3"/>
      <w:bookmarkEnd w:id="4"/>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5" w:name="bookmark5"/>
      <w:bookmarkStart w:id="6" w:name="_Toc16226"/>
      <w:bookmarkStart w:id="7" w:name="bookmark6"/>
      <w:r>
        <w:rPr>
          <w:rFonts w:ascii="楷体_GB2312" w:hAnsi="Times New Roman" w:eastAsia="楷体_GB2312" w:cs="Times New Roman"/>
          <w:b/>
          <w:bCs w:val="0"/>
          <w:color w:val="auto"/>
          <w:kern w:val="2"/>
          <w:sz w:val="32"/>
          <w:lang w:val="en-US" w:eastAsia="zh-CN" w:bidi="ar-SA"/>
        </w:rPr>
        <w:t>1.1评价目的</w:t>
      </w:r>
      <w:bookmarkEnd w:id="5"/>
      <w:bookmarkEnd w:id="6"/>
      <w:bookmarkEnd w:id="7"/>
    </w:p>
    <w:p>
      <w:pPr>
        <w:spacing w:line="360" w:lineRule="auto"/>
        <w:ind w:firstLine="565" w:firstLineChars="202"/>
        <w:jc w:val="both"/>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查找企业正常经营活动时存在的主要危险、有害因素及其产生危险、有害后果的主要条件。</w:t>
      </w:r>
    </w:p>
    <w:p>
      <w:pPr>
        <w:spacing w:line="360" w:lineRule="auto"/>
        <w:ind w:firstLine="565" w:firstLineChars="202"/>
        <w:jc w:val="both"/>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对企业正常经营活动过程中固有危险、有害因素进行评价和科学分析。</w:t>
      </w:r>
    </w:p>
    <w:p>
      <w:pPr>
        <w:spacing w:line="360" w:lineRule="auto"/>
        <w:ind w:firstLine="565" w:firstLineChars="202"/>
        <w:jc w:val="both"/>
        <w:rPr>
          <w:rFonts w:ascii="宋体" w:hAnsi="宋体" w:eastAsia="宋体"/>
          <w:color w:val="auto"/>
          <w:sz w:val="28"/>
          <w:szCs w:val="28"/>
        </w:rPr>
      </w:pPr>
      <w:r>
        <w:rPr>
          <w:rFonts w:hint="eastAsia" w:ascii="宋体" w:hAnsi="宋体" w:eastAsia="宋体"/>
          <w:color w:val="auto"/>
          <w:sz w:val="28"/>
          <w:szCs w:val="28"/>
          <w:lang w:eastAsia="zh-CN"/>
        </w:rPr>
        <w:t>(3)</w:t>
      </w:r>
      <w:r>
        <w:rPr>
          <w:rFonts w:ascii="宋体" w:hAnsi="宋体" w:eastAsia="宋体"/>
          <w:color w:val="auto"/>
          <w:sz w:val="28"/>
          <w:szCs w:val="28"/>
        </w:rPr>
        <w:t>提出消除、预防及降低企业正常经营活动时的危险性，提出企业正常经营活动时的安全卫生对策措施，为企业正常经营活动以及日常管理提供依据，并为政府安全生产监督管理部门和上级主管部门实行安全监察提供依据，以利于提高企业正常经营活动的本质安全程度，同时，也为安全生产许可证换证提供重要依据。</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8" w:name="_Toc29800"/>
      <w:bookmarkStart w:id="9" w:name="bookmark7"/>
      <w:r>
        <w:rPr>
          <w:rFonts w:ascii="楷体_GB2312" w:hAnsi="Times New Roman" w:eastAsia="楷体_GB2312" w:cs="Times New Roman"/>
          <w:b/>
          <w:bCs w:val="0"/>
          <w:color w:val="auto"/>
          <w:kern w:val="2"/>
          <w:sz w:val="32"/>
          <w:lang w:val="en-US" w:eastAsia="zh-CN" w:bidi="ar-SA"/>
        </w:rPr>
        <w:t>1.2评价依据</w:t>
      </w:r>
      <w:bookmarkEnd w:id="8"/>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1.2.1法律、法规依据</w:t>
      </w:r>
      <w:bookmarkEnd w:id="9"/>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《中华人民共和国安全生产法》(中华人民共和国主席令第13号)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《中华人民共和国消防法》(</w:t>
      </w:r>
      <w:r>
        <w:rPr>
          <w:rFonts w:hint="eastAsia" w:ascii="宋体" w:hAnsi="宋体" w:eastAsia="宋体"/>
          <w:color w:val="auto"/>
          <w:sz w:val="28"/>
          <w:szCs w:val="28"/>
          <w:lang w:eastAsia="zh-CN"/>
        </w:rPr>
        <w:t>中华人民共和国主席令第二十九号</w:t>
      </w:r>
      <w:r>
        <w:rPr>
          <w:rFonts w:ascii="宋体" w:hAnsi="宋体" w:eastAsia="宋体"/>
          <w:color w:val="auto"/>
          <w:sz w:val="28"/>
          <w:szCs w:val="28"/>
          <w:lang w:eastAsia="zh-CN"/>
        </w:rPr>
        <w:t>)</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《中华人民共和国职业病防治法》(</w:t>
      </w:r>
      <w:r>
        <w:rPr>
          <w:rFonts w:hint="eastAsia" w:ascii="宋体" w:hAnsi="宋体" w:eastAsia="宋体"/>
          <w:color w:val="auto"/>
          <w:sz w:val="28"/>
          <w:szCs w:val="28"/>
          <w:lang w:eastAsia="zh-CN"/>
        </w:rPr>
        <w:t>根据</w:t>
      </w:r>
      <w:r>
        <w:rPr>
          <w:rFonts w:ascii="宋体" w:hAnsi="宋体" w:eastAsia="宋体"/>
          <w:color w:val="auto"/>
          <w:sz w:val="28"/>
          <w:szCs w:val="28"/>
          <w:lang w:eastAsia="zh-CN"/>
        </w:rPr>
        <w:t>2011年12月31日主席令第52</w:t>
      </w:r>
      <w:r>
        <w:rPr>
          <w:rFonts w:hint="eastAsia" w:ascii="宋体" w:hAnsi="宋体" w:eastAsia="宋体"/>
          <w:color w:val="auto"/>
          <w:sz w:val="28"/>
          <w:szCs w:val="28"/>
          <w:lang w:eastAsia="zh-CN"/>
        </w:rPr>
        <w:t>号第一次修正，根据</w:t>
      </w:r>
      <w:r>
        <w:rPr>
          <w:rFonts w:ascii="宋体" w:hAnsi="宋体" w:eastAsia="宋体"/>
          <w:color w:val="auto"/>
          <w:sz w:val="28"/>
          <w:szCs w:val="28"/>
          <w:lang w:eastAsia="zh-CN"/>
        </w:rPr>
        <w:t>2016年7月2日主席令第48</w:t>
      </w:r>
      <w:r>
        <w:rPr>
          <w:rFonts w:hint="eastAsia" w:ascii="宋体" w:hAnsi="宋体" w:eastAsia="宋体"/>
          <w:color w:val="auto"/>
          <w:sz w:val="28"/>
          <w:szCs w:val="28"/>
          <w:lang w:eastAsia="zh-CN"/>
        </w:rPr>
        <w:t>号第二次修正，根据</w:t>
      </w:r>
      <w:r>
        <w:rPr>
          <w:rFonts w:ascii="宋体" w:hAnsi="宋体" w:eastAsia="宋体"/>
          <w:color w:val="auto"/>
          <w:sz w:val="28"/>
          <w:szCs w:val="28"/>
          <w:lang w:eastAsia="zh-CN"/>
        </w:rPr>
        <w:t>2017年11月4日主席令第81</w:t>
      </w:r>
      <w:r>
        <w:rPr>
          <w:rFonts w:hint="eastAsia" w:ascii="宋体" w:hAnsi="宋体" w:eastAsia="宋体"/>
          <w:color w:val="auto"/>
          <w:sz w:val="28"/>
          <w:szCs w:val="28"/>
          <w:lang w:eastAsia="zh-CN"/>
        </w:rPr>
        <w:t>号第三次修正，根据</w:t>
      </w:r>
      <w:r>
        <w:rPr>
          <w:rFonts w:ascii="宋体" w:hAnsi="宋体" w:eastAsia="宋体"/>
          <w:color w:val="auto"/>
          <w:sz w:val="28"/>
          <w:szCs w:val="28"/>
          <w:lang w:eastAsia="zh-CN"/>
        </w:rPr>
        <w:t>2018年12月29日主席令第24</w:t>
      </w:r>
      <w:r>
        <w:rPr>
          <w:rFonts w:hint="eastAsia" w:ascii="宋体" w:hAnsi="宋体" w:eastAsia="宋体"/>
          <w:color w:val="auto"/>
          <w:sz w:val="28"/>
          <w:szCs w:val="28"/>
          <w:lang w:eastAsia="zh-CN"/>
        </w:rPr>
        <w:t>号第四次修正</w:t>
      </w:r>
      <w:r>
        <w:rPr>
          <w:rFonts w:ascii="宋体" w:hAnsi="宋体" w:eastAsia="宋体"/>
          <w:color w:val="auto"/>
          <w:sz w:val="28"/>
          <w:szCs w:val="28"/>
          <w:lang w:eastAsia="zh-CN"/>
        </w:rPr>
        <w:t>)；</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《中华人民共和国劳动法》(中华人民共和国主席令第28号)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《中华人民共和国特种设备安全法》(中华人民共和国主席令第4号)；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《特种设备安全监察条例》(中华人民共和国国务院令第549号)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《使用有毒物品作业场所劳动保护条例》(中华人民共和国国务院令第352号)；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《工伤保险条例》(中华人民共和国国务院令第586号)；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《安全生产许可证条例》(中华人民共和国国务院令第397号，2013年7月18日国务院令第638号令第一次修订；2014年7月29日国务院令第653号令第二次修订)；</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《危险化学品安全管理条例》(国务院令第591号，2013年12月，国务院令645号修订)；</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《易制毒化学品管理条例》(中华人民共和国国务院令第445号；2014年7月29日国务院令第653号令第一次修订；2016年2月6日国务院令第666号令第二次修订)；</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《关于进一步加强企业安全生产工作的通知》(国发〔2010〕23号)；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《危险化学品生产企业安全生产许可证实施办法》(安监总局令第41号，安监总局令第79号修订)；</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《安全生产事故隐患排查治理暂行规定》(安监总局令第16号)；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《生产安全事故应急预案管理办法》(</w:t>
      </w:r>
      <w:r>
        <w:rPr>
          <w:rFonts w:hint="eastAsia" w:ascii="宋体" w:hAnsi="宋体" w:eastAsia="宋体"/>
          <w:color w:val="auto"/>
          <w:sz w:val="28"/>
          <w:szCs w:val="28"/>
          <w:lang w:eastAsia="zh-CN"/>
        </w:rPr>
        <w:t>应急管理局令第2号</w:t>
      </w:r>
      <w:r>
        <w:rPr>
          <w:rFonts w:ascii="宋体" w:hAnsi="宋体" w:eastAsia="宋体"/>
          <w:color w:val="auto"/>
          <w:sz w:val="28"/>
          <w:szCs w:val="28"/>
          <w:lang w:eastAsia="zh-CN"/>
        </w:rPr>
        <w:t>)；</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《国家安全监管总局办公厅关于印发用人单位劳动防护用品管理规范的通知》(安监总厅安健[2015]124号)；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《特种作业人员安全技术培训考核管理规定》(安监总局令第30号，2015年国家安全生产监督管理总局第80号令修订)；</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《特种设备作业人员监督管理办法》(国家质量监督检验检疫总局令第140号)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《产业结构调整指导目录(2019年本)》(中华人民共和国国家发展和改革委员会令第29号)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《危险化学品生产企业安全评价导则(试行)》(安监管危化字[2004]127号)；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《广东省安全生产监督管理局关于印发《广东省安全生产监督管理局关于〈生产安全事故应急预案管理办法〉的实施细则》的通知》(粤安监应急〔2017〕9号)；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《重点监管危险化工工艺目录》(2013年完整版)</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《重点监管的危险化学品名录》(2013年完整版)</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《仓库防火安全管理规则》(中华人民共和国公安部令第6号)；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《爆炸危险场所安全规定》(原劳动部发[1995]56号)；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《广东省安全生产条例》(广东省第十二届人民代表大会常务委员会公告第94号)；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《关于认真贯彻危险化学品生产企业安全生产许可证实施办法的通知》(粤安监管三〔2011〕44号)；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《关于认真贯彻危险化学品生产企业安全生产许可证实施办法的补充通知》(粤安监〔2012〕56号)；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《关于规范危险化学品生产、储存企业作业场所安全标志标识的通知》(粤安监管三〔2011〕50号)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《危险化学品重大危险源监督管理暂行规定》(安监总局令第40号，安监总局令第79号修订)</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《广东省安全生产监督管理局关于＜危险化学品重大危险源监督管理暂行规定〉的实施细则》(粤安监〔2013〕17号)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《危险化学品目录(2015版)》(安全监管总局、工业和信息化部、公安部等公告2015年第5号)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国家安全监管总局办公厅关于印发《危险化学品目录(2015版)实施指南(试行)》的通知(安监总厅管三〔2015〕80号)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《淘汰落后安全技术装备目录(2015年第一批)》(安监总科技〔2015〕75号)；</w:t>
      </w:r>
    </w:p>
    <w:p>
      <w:pPr>
        <w:spacing w:line="360" w:lineRule="auto"/>
        <w:ind w:firstLine="565" w:firstLineChars="202"/>
        <w:jc w:val="both"/>
        <w:rPr>
          <w:rFonts w:ascii="宋体" w:hAnsi="宋体" w:eastAsia="宋体"/>
          <w:color w:val="auto"/>
          <w:sz w:val="28"/>
          <w:szCs w:val="28"/>
          <w:lang w:eastAsia="zh-CN"/>
        </w:rPr>
      </w:pPr>
      <w:r>
        <w:rPr>
          <w:rFonts w:ascii="宋体" w:hAnsi="宋体" w:eastAsia="宋体"/>
          <w:color w:val="auto"/>
          <w:sz w:val="28"/>
          <w:szCs w:val="28"/>
          <w:lang w:eastAsia="zh-CN"/>
        </w:rPr>
        <w:t>《淘汰落后安全技术工艺、设备目录》(2016年)(安监总科技〔2016〕137号)。</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10" w:name="bookmark8"/>
      <w:r>
        <w:rPr>
          <w:rFonts w:ascii="宋体" w:hAnsi="宋体" w:eastAsia="宋体" w:cs="Times New Roman"/>
          <w:b/>
          <w:bCs w:val="0"/>
          <w:color w:val="auto"/>
          <w:kern w:val="2"/>
          <w:sz w:val="28"/>
          <w:szCs w:val="28"/>
          <w:lang w:val="en-US" w:eastAsia="zh-CN" w:bidi="ar-SA"/>
        </w:rPr>
        <w:t>1.2.2标准、规范</w:t>
      </w:r>
      <w:bookmarkEnd w:id="10"/>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《安全评价通则》(AQ8001-2007)；</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《建筑设计防火规范》(GB50016-2014，2018年版)；</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《建筑物防雷设计规范》(GB50057-2010)；</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《危险化学品重大危险源辨识》(GB18218-2018)；</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《化工企业安全卫生设计规范》(HG20571-2014)；</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《爆炸危险环境电力装置设计规范》(GB50058-2014)；</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《防止静电事故通用导则》(GB12158-2006)；</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《化工企业静电安全检查规程》(HG/T23003-1992)；</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《生产过程安全卫生要求总则》(GB/T12801-2008)；</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《爆炸性环境第1部分：设备通用要求》(GB3836.1-2010)；</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《常用化学危险品贮存通则》(GB15603-1995)；</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《易燃易爆性商品储存养护技术条件》(GB17914-2013)；</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《毒害性商品储存养护技术条件》(GB17916-2013)；</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《生产过程危险和有害因素分类与代码》(GB/T13861-2009)；</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《企业职工伤亡事故分类》(GB6441-1986)；</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《供配电系统设计规范》(GB50052-2009)；</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《石油化工可燃气体和有毒气体检测报警设计标准》(GB50493-2019)；</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《职业性接触毒物危害程度分级》(GBZ230-2010)；</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《工作场所有害因素职业接触限值》(GBZ2.1～2.2-2007)；</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《建筑灭火器配置验收及检查规范》(GB50444-2008)；</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《电气装置安装工程爆炸和火灾危险环境电气装置施工及验收规范》(GB50257-2014)；</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《安全色》(GB2893-2008)；</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《安全标志及其使用导则》(GB2894-2008)；</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《消防安全标志》(GB13495-1992)；</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《消防安全标志设置要求》(GB15630-1995)；</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《工业企业总平面设计规范》(GB50187-2012)；</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《工业场所职业病危害警示标识》(GBZ158-2003)；</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《工业企业设计卫生标准》(GBZ1-2010)；</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《常用危险化学品安全周知卡编制导则》(HG23010-1997)；</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《化学品分类和危险性公示通则》(GB13690-2009)；</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《固定式钢梯及平台安全要求第2部分：钢斜梯》GB(4053.2-2009)；</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《固定式钢梯及平台安全要求第3部分：工业防护栏杆及钢平台》(GB4053.3-2009)；</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《危险场所电气防爆安全规范》(AQ3009-2007)；</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《生产经营单位生产安全事故应急预案编制导则》(GB/T29639-2013)；</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《油漆厂卫生防护距离标准》(GB18070-2000)；</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《涂料生产企业安全技术规范》（AQ5204-2008）；</w:t>
      </w:r>
    </w:p>
    <w:p>
      <w:pPr>
        <w:spacing w:line="360" w:lineRule="auto"/>
        <w:ind w:firstLine="565" w:firstLineChars="202"/>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《公路安全保护条例》（国务院令第</w:t>
      </w:r>
      <w:r>
        <w:rPr>
          <w:rFonts w:hint="eastAsia" w:ascii="宋体" w:hAnsi="宋体" w:eastAsia="宋体" w:cs="宋体"/>
          <w:color w:val="auto"/>
          <w:sz w:val="28"/>
          <w:szCs w:val="28"/>
          <w:lang w:val="en-US" w:eastAsia="zh-CN"/>
        </w:rPr>
        <w:t>593号</w:t>
      </w:r>
      <w:r>
        <w:rPr>
          <w:rFonts w:hint="eastAsia" w:ascii="宋体" w:hAnsi="宋体" w:eastAsia="宋体" w:cs="宋体"/>
          <w:color w:val="auto"/>
          <w:sz w:val="28"/>
          <w:szCs w:val="28"/>
          <w:lang w:eastAsia="zh-CN"/>
        </w:rPr>
        <w:t>）</w:t>
      </w:r>
    </w:p>
    <w:p>
      <w:pPr>
        <w:spacing w:line="360" w:lineRule="auto"/>
        <w:ind w:firstLine="565" w:firstLineChars="20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其它有关法规及标准。</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11" w:name="bookmark9"/>
      <w:r>
        <w:rPr>
          <w:rFonts w:ascii="宋体" w:hAnsi="宋体" w:eastAsia="宋体" w:cs="Times New Roman"/>
          <w:b/>
          <w:bCs w:val="0"/>
          <w:color w:val="auto"/>
          <w:kern w:val="2"/>
          <w:sz w:val="28"/>
          <w:szCs w:val="28"/>
          <w:lang w:val="en-US" w:eastAsia="zh-CN" w:bidi="ar-SA"/>
        </w:rPr>
        <w:t>1.2.3其它相关资料</w:t>
      </w:r>
      <w:bookmarkEnd w:id="11"/>
    </w:p>
    <w:p>
      <w:pPr>
        <w:spacing w:line="360" w:lineRule="auto"/>
        <w:ind w:firstLine="565" w:firstLineChars="20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广东安源鼎盛检测评价技术服务有限公司与</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lang w:eastAsia="zh-CN"/>
        </w:rPr>
        <w:t>签订的服务合同；</w:t>
      </w:r>
    </w:p>
    <w:p>
      <w:pPr>
        <w:spacing w:line="360" w:lineRule="auto"/>
        <w:ind w:firstLine="565" w:firstLineChars="202"/>
        <w:rPr>
          <w:rFonts w:ascii="宋体" w:hAnsi="宋体" w:eastAsia="宋体"/>
          <w:color w:val="auto"/>
          <w:sz w:val="28"/>
          <w:szCs w:val="28"/>
          <w:lang w:eastAsia="zh-CN"/>
        </w:rPr>
      </w:pPr>
      <w:r>
        <w:rPr>
          <w:rFonts w:hint="eastAsia" w:ascii="宋体" w:hAnsi="宋体" w:eastAsia="宋体"/>
          <w:color w:val="auto"/>
          <w:sz w:val="28"/>
          <w:szCs w:val="28"/>
          <w:lang w:eastAsia="zh-CN"/>
        </w:rPr>
        <w:t>2)东莞优诺电子焊接材料有限公司</w:t>
      </w:r>
      <w:r>
        <w:rPr>
          <w:rFonts w:ascii="宋体" w:hAnsi="宋体" w:eastAsia="宋体"/>
          <w:color w:val="auto"/>
          <w:sz w:val="28"/>
          <w:szCs w:val="28"/>
          <w:lang w:eastAsia="zh-CN"/>
        </w:rPr>
        <w:t>提供的证照文书、工艺资料、安全现状评价报告等相关技术资料。</w:t>
      </w:r>
    </w:p>
    <w:p>
      <w:pPr>
        <w:spacing w:line="560" w:lineRule="exact"/>
        <w:ind w:firstLine="565" w:firstLineChars="202"/>
        <w:rPr>
          <w:rFonts w:ascii="宋体" w:hAnsi="宋体" w:eastAsia="宋体"/>
          <w:color w:val="auto"/>
          <w:sz w:val="28"/>
          <w:szCs w:val="28"/>
          <w:lang w:eastAsia="zh-CN"/>
        </w:rPr>
      </w:pPr>
    </w:p>
    <w:p>
      <w:pPr>
        <w:pStyle w:val="3"/>
        <w:spacing w:after="120"/>
        <w:rPr>
          <w:snapToGrid/>
          <w:color w:val="auto"/>
        </w:rPr>
      </w:pPr>
      <w:bookmarkStart w:id="12" w:name="bookmark10"/>
      <w:bookmarkStart w:id="13" w:name="bookmark11"/>
      <w:r>
        <w:rPr>
          <w:snapToGrid/>
          <w:color w:val="auto"/>
        </w:rPr>
        <w:br w:type="page"/>
      </w:r>
    </w:p>
    <w:p>
      <w:pPr>
        <w:pStyle w:val="3"/>
        <w:spacing w:after="120"/>
        <w:rPr>
          <w:b/>
          <w:bCs/>
          <w:snapToGrid/>
          <w:color w:val="auto"/>
        </w:rPr>
      </w:pPr>
      <w:bookmarkStart w:id="14" w:name="_Toc19000"/>
      <w:r>
        <w:rPr>
          <w:b/>
          <w:bCs/>
          <w:snapToGrid/>
          <w:color w:val="auto"/>
        </w:rPr>
        <w:t>2被评价单位概况</w:t>
      </w:r>
      <w:bookmarkEnd w:id="12"/>
      <w:bookmarkEnd w:id="13"/>
      <w:bookmarkEnd w:id="14"/>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15" w:name="_Toc5139"/>
      <w:bookmarkStart w:id="16" w:name="bookmark12"/>
      <w:bookmarkStart w:id="17" w:name="bookmark13"/>
      <w:r>
        <w:rPr>
          <w:rFonts w:ascii="楷体_GB2312" w:hAnsi="Times New Roman" w:eastAsia="楷体_GB2312" w:cs="Times New Roman"/>
          <w:b/>
          <w:bCs/>
          <w:color w:val="auto"/>
          <w:kern w:val="2"/>
          <w:sz w:val="32"/>
          <w:lang w:val="en-US" w:eastAsia="zh-CN" w:bidi="ar-SA"/>
        </w:rPr>
        <w:t>2.1被评价单位基本情况</w:t>
      </w:r>
      <w:bookmarkEnd w:id="15"/>
    </w:p>
    <w:p>
      <w:pPr>
        <w:spacing w:line="360" w:lineRule="auto"/>
        <w:jc w:val="both"/>
        <w:outlineLvl w:val="2"/>
        <w:rPr>
          <w:rFonts w:ascii="宋体" w:hAnsi="宋体" w:eastAsia="宋体" w:cs="Times New Roman"/>
          <w:b/>
          <w:bCs/>
          <w:color w:val="auto"/>
          <w:kern w:val="2"/>
          <w:sz w:val="28"/>
          <w:szCs w:val="28"/>
          <w:lang w:val="en-US" w:eastAsia="zh-CN" w:bidi="ar-SA"/>
        </w:rPr>
      </w:pPr>
      <w:r>
        <w:rPr>
          <w:rFonts w:ascii="宋体" w:hAnsi="宋体" w:eastAsia="宋体" w:cs="Times New Roman"/>
          <w:b/>
          <w:bCs/>
          <w:color w:val="auto"/>
          <w:kern w:val="2"/>
          <w:sz w:val="28"/>
          <w:szCs w:val="28"/>
          <w:lang w:val="en-US" w:eastAsia="zh-CN" w:bidi="ar-SA"/>
        </w:rPr>
        <w:t>2.1.1被评价单位简介</w:t>
      </w:r>
      <w:bookmarkEnd w:id="16"/>
      <w:bookmarkEnd w:id="17"/>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rPr>
        <w:t>于</w:t>
      </w:r>
      <w:r>
        <w:rPr>
          <w:rFonts w:hint="eastAsia" w:ascii="宋体" w:hAnsi="宋体" w:eastAsia="宋体"/>
          <w:color w:val="auto"/>
          <w:sz w:val="28"/>
          <w:szCs w:val="28"/>
          <w:lang w:val="en-US" w:eastAsia="zh-CN"/>
        </w:rPr>
        <w:t>2005</w:t>
      </w:r>
      <w:r>
        <w:rPr>
          <w:rFonts w:ascii="宋体" w:hAnsi="宋体" w:eastAsia="宋体"/>
          <w:color w:val="auto"/>
          <w:sz w:val="28"/>
          <w:szCs w:val="28"/>
        </w:rPr>
        <w:t>年</w:t>
      </w:r>
      <w:r>
        <w:rPr>
          <w:rFonts w:hint="eastAsia" w:ascii="宋体" w:hAnsi="宋体" w:eastAsia="宋体"/>
          <w:color w:val="auto"/>
          <w:sz w:val="28"/>
          <w:szCs w:val="28"/>
          <w:lang w:eastAsia="zh-CN"/>
        </w:rPr>
        <w:t>0</w:t>
      </w:r>
      <w:r>
        <w:rPr>
          <w:rFonts w:hint="eastAsia" w:ascii="宋体" w:hAnsi="宋体" w:eastAsia="宋体"/>
          <w:color w:val="auto"/>
          <w:sz w:val="28"/>
          <w:szCs w:val="28"/>
          <w:lang w:val="en-US" w:eastAsia="zh-CN"/>
        </w:rPr>
        <w:t>3</w:t>
      </w:r>
      <w:r>
        <w:rPr>
          <w:rFonts w:ascii="宋体" w:hAnsi="宋体" w:eastAsia="宋体"/>
          <w:color w:val="auto"/>
          <w:sz w:val="28"/>
          <w:szCs w:val="28"/>
        </w:rPr>
        <w:t>月</w:t>
      </w:r>
      <w:r>
        <w:rPr>
          <w:rFonts w:hint="eastAsia" w:ascii="宋体" w:hAnsi="宋体" w:eastAsia="宋体"/>
          <w:color w:val="auto"/>
          <w:sz w:val="28"/>
          <w:szCs w:val="28"/>
          <w:lang w:val="en-US" w:eastAsia="zh-CN"/>
        </w:rPr>
        <w:t>10</w:t>
      </w:r>
      <w:r>
        <w:rPr>
          <w:rFonts w:ascii="宋体" w:hAnsi="宋体" w:eastAsia="宋体"/>
          <w:color w:val="auto"/>
          <w:sz w:val="28"/>
          <w:szCs w:val="28"/>
        </w:rPr>
        <w:t>日在</w:t>
      </w:r>
      <w:r>
        <w:rPr>
          <w:rFonts w:hint="eastAsia" w:ascii="宋体" w:hAnsi="宋体" w:eastAsia="宋体"/>
          <w:color w:val="auto"/>
          <w:sz w:val="28"/>
          <w:szCs w:val="28"/>
          <w:lang w:eastAsia="zh-CN"/>
        </w:rPr>
        <w:t>东莞市市场监督管理局</w:t>
      </w:r>
      <w:r>
        <w:rPr>
          <w:rFonts w:ascii="宋体" w:hAnsi="宋体" w:eastAsia="宋体"/>
          <w:color w:val="auto"/>
          <w:sz w:val="28"/>
          <w:szCs w:val="28"/>
        </w:rPr>
        <w:t>注册成立，统一社会信用代码：</w:t>
      </w:r>
      <w:r>
        <w:rPr>
          <w:rFonts w:hint="eastAsia" w:ascii="宋体" w:hAnsi="宋体" w:eastAsia="宋体"/>
          <w:color w:val="auto"/>
          <w:sz w:val="28"/>
          <w:szCs w:val="28"/>
          <w:lang w:eastAsia="zh-CN"/>
        </w:rPr>
        <w:t>914419007718688951</w:t>
      </w:r>
      <w:r>
        <w:rPr>
          <w:rFonts w:ascii="宋体" w:hAnsi="宋体" w:eastAsia="宋体"/>
          <w:color w:val="auto"/>
          <w:sz w:val="28"/>
          <w:szCs w:val="28"/>
        </w:rPr>
        <w:t>；类型：</w:t>
      </w:r>
      <w:r>
        <w:rPr>
          <w:rFonts w:hint="eastAsia" w:ascii="宋体" w:hAnsi="宋体" w:eastAsia="宋体"/>
          <w:color w:val="auto"/>
          <w:sz w:val="28"/>
          <w:szCs w:val="28"/>
          <w:lang w:eastAsia="zh-CN"/>
        </w:rPr>
        <w:t>有限责任公司（法人独资）</w:t>
      </w:r>
      <w:r>
        <w:rPr>
          <w:rFonts w:ascii="宋体" w:hAnsi="宋体" w:eastAsia="宋体"/>
          <w:color w:val="auto"/>
          <w:sz w:val="28"/>
          <w:szCs w:val="28"/>
        </w:rPr>
        <w:t>；住所：</w:t>
      </w:r>
      <w:r>
        <w:rPr>
          <w:rFonts w:hint="eastAsia" w:ascii="宋体" w:hAnsi="宋体" w:eastAsia="宋体"/>
          <w:color w:val="auto"/>
          <w:sz w:val="28"/>
          <w:szCs w:val="28"/>
          <w:lang w:eastAsia="zh-CN"/>
        </w:rPr>
        <w:t>广东省东莞市大岭山镇太公岭园山街10号1号楼</w:t>
      </w:r>
      <w:r>
        <w:rPr>
          <w:rFonts w:ascii="宋体" w:hAnsi="宋体" w:eastAsia="宋体"/>
          <w:color w:val="auto"/>
          <w:sz w:val="28"/>
          <w:szCs w:val="28"/>
        </w:rPr>
        <w:t>；法定代表人：</w:t>
      </w:r>
      <w:r>
        <w:rPr>
          <w:rFonts w:hint="eastAsia" w:ascii="宋体" w:hAnsi="宋体" w:eastAsia="宋体"/>
          <w:color w:val="auto"/>
          <w:sz w:val="28"/>
          <w:szCs w:val="28"/>
          <w:lang w:eastAsia="zh-CN"/>
        </w:rPr>
        <w:t>白映月</w:t>
      </w:r>
      <w:r>
        <w:rPr>
          <w:rFonts w:ascii="宋体" w:hAnsi="宋体" w:eastAsia="宋体"/>
          <w:color w:val="auto"/>
          <w:sz w:val="28"/>
          <w:szCs w:val="28"/>
        </w:rPr>
        <w:t>；注册资本：人民币</w:t>
      </w:r>
      <w:r>
        <w:rPr>
          <w:rFonts w:hint="eastAsia" w:ascii="宋体" w:hAnsi="宋体" w:eastAsia="宋体"/>
          <w:color w:val="auto"/>
          <w:sz w:val="28"/>
          <w:szCs w:val="28"/>
          <w:lang w:eastAsia="zh-CN"/>
        </w:rPr>
        <w:t>壹仟肆佰壹拾玖万壹仟柒佰陆拾肆元</w:t>
      </w:r>
      <w:r>
        <w:rPr>
          <w:rFonts w:ascii="宋体" w:hAnsi="宋体" w:eastAsia="宋体"/>
          <w:color w:val="auto"/>
          <w:sz w:val="28"/>
          <w:szCs w:val="28"/>
        </w:rPr>
        <w:t>。企业于</w:t>
      </w:r>
      <w:r>
        <w:rPr>
          <w:rFonts w:hint="eastAsia" w:ascii="宋体" w:hAnsi="宋体" w:eastAsia="宋体"/>
          <w:color w:val="auto"/>
          <w:sz w:val="28"/>
          <w:szCs w:val="28"/>
          <w:lang w:eastAsia="zh-CN"/>
        </w:rPr>
        <w:t>20</w:t>
      </w:r>
      <w:r>
        <w:rPr>
          <w:rFonts w:hint="eastAsia" w:ascii="宋体" w:hAnsi="宋体" w:eastAsia="宋体"/>
          <w:color w:val="auto"/>
          <w:sz w:val="28"/>
          <w:szCs w:val="28"/>
          <w:lang w:val="en-US" w:eastAsia="zh-CN"/>
        </w:rPr>
        <w:t>18</w:t>
      </w:r>
      <w:r>
        <w:rPr>
          <w:rFonts w:ascii="宋体" w:hAnsi="宋体" w:eastAsia="宋体"/>
          <w:color w:val="auto"/>
          <w:sz w:val="28"/>
          <w:szCs w:val="28"/>
        </w:rPr>
        <w:t>年</w:t>
      </w:r>
      <w:r>
        <w:rPr>
          <w:rFonts w:hint="eastAsia" w:ascii="宋体" w:hAnsi="宋体" w:eastAsia="宋体"/>
          <w:color w:val="auto"/>
          <w:sz w:val="28"/>
          <w:szCs w:val="28"/>
          <w:lang w:val="en-US" w:eastAsia="zh-CN"/>
        </w:rPr>
        <w:t>08</w:t>
      </w:r>
      <w:r>
        <w:rPr>
          <w:rFonts w:ascii="宋体" w:hAnsi="宋体" w:eastAsia="宋体"/>
          <w:color w:val="auto"/>
          <w:sz w:val="28"/>
          <w:szCs w:val="28"/>
        </w:rPr>
        <w:t>月</w:t>
      </w:r>
      <w:r>
        <w:rPr>
          <w:rFonts w:hint="eastAsia" w:ascii="宋体" w:hAnsi="宋体" w:eastAsia="宋体"/>
          <w:color w:val="auto"/>
          <w:sz w:val="28"/>
          <w:szCs w:val="28"/>
          <w:lang w:val="en-US" w:eastAsia="zh-CN"/>
        </w:rPr>
        <w:t>01</w:t>
      </w:r>
      <w:r>
        <w:rPr>
          <w:rFonts w:ascii="宋体" w:hAnsi="宋体" w:eastAsia="宋体"/>
          <w:color w:val="auto"/>
          <w:sz w:val="28"/>
          <w:szCs w:val="28"/>
        </w:rPr>
        <w:t>日取得了</w:t>
      </w:r>
      <w:r>
        <w:rPr>
          <w:rFonts w:hint="eastAsia" w:ascii="宋体" w:hAnsi="宋体" w:eastAsia="宋体"/>
          <w:color w:val="auto"/>
          <w:sz w:val="28"/>
          <w:szCs w:val="28"/>
          <w:lang w:eastAsia="zh-CN"/>
        </w:rPr>
        <w:t>原东莞市安全生产监督管理局</w:t>
      </w:r>
      <w:r>
        <w:rPr>
          <w:rFonts w:ascii="宋体" w:hAnsi="宋体" w:eastAsia="宋体"/>
          <w:color w:val="auto"/>
          <w:sz w:val="28"/>
          <w:szCs w:val="28"/>
        </w:rPr>
        <w:t>核发的《安全生产许可证》，编号：(</w:t>
      </w:r>
      <w:r>
        <w:rPr>
          <w:rFonts w:hint="eastAsia" w:ascii="宋体" w:hAnsi="宋体" w:eastAsia="宋体"/>
          <w:color w:val="auto"/>
          <w:sz w:val="28"/>
          <w:szCs w:val="28"/>
          <w:lang w:eastAsia="zh-CN"/>
        </w:rPr>
        <w:t>（粤东）WH安许证字[2018]000023</w:t>
      </w:r>
      <w:r>
        <w:rPr>
          <w:rFonts w:ascii="宋体" w:hAnsi="宋体" w:eastAsia="宋体"/>
          <w:color w:val="auto"/>
          <w:sz w:val="28"/>
          <w:szCs w:val="28"/>
        </w:rPr>
        <w:t>，许可范围：</w:t>
      </w:r>
      <w:r>
        <w:rPr>
          <w:rFonts w:hint="eastAsia" w:ascii="宋体" w:hAnsi="宋体" w:eastAsia="宋体"/>
          <w:color w:val="auto"/>
          <w:sz w:val="28"/>
          <w:szCs w:val="28"/>
          <w:lang w:val="en-US" w:eastAsia="zh-CN"/>
        </w:rPr>
        <w:t>2-丙醇（111）180吨/年、含易燃溶剂的合成树脂、油漆、辅助材料、涂料等制品[闭杯闪点≤60℃]（2828），快干助焊剂700吨/年、清洗剂120吨/年***</w:t>
      </w:r>
      <w:r>
        <w:rPr>
          <w:rFonts w:ascii="宋体" w:hAnsi="宋体" w:eastAsia="宋体"/>
          <w:color w:val="auto"/>
          <w:sz w:val="28"/>
          <w:szCs w:val="28"/>
        </w:rPr>
        <w:t>，有效期至20</w:t>
      </w:r>
      <w:r>
        <w:rPr>
          <w:rFonts w:hint="eastAsia" w:ascii="宋体" w:hAnsi="宋体" w:eastAsia="宋体"/>
          <w:color w:val="auto"/>
          <w:sz w:val="28"/>
          <w:szCs w:val="28"/>
          <w:lang w:eastAsia="zh-CN"/>
        </w:rPr>
        <w:t>2</w:t>
      </w:r>
      <w:r>
        <w:rPr>
          <w:rFonts w:hint="eastAsia" w:ascii="宋体" w:hAnsi="宋体" w:eastAsia="宋体"/>
          <w:color w:val="auto"/>
          <w:sz w:val="28"/>
          <w:szCs w:val="28"/>
          <w:lang w:val="en-US" w:eastAsia="zh-CN"/>
        </w:rPr>
        <w:t>1</w:t>
      </w:r>
      <w:r>
        <w:rPr>
          <w:rFonts w:ascii="宋体" w:hAnsi="宋体" w:eastAsia="宋体"/>
          <w:color w:val="auto"/>
          <w:sz w:val="28"/>
          <w:szCs w:val="28"/>
        </w:rPr>
        <w:t>年</w:t>
      </w:r>
      <w:r>
        <w:rPr>
          <w:rFonts w:hint="eastAsia" w:ascii="宋体" w:hAnsi="宋体" w:eastAsia="宋体"/>
          <w:color w:val="auto"/>
          <w:sz w:val="28"/>
          <w:szCs w:val="28"/>
          <w:lang w:val="en-US" w:eastAsia="zh-CN"/>
        </w:rPr>
        <w:t>07</w:t>
      </w:r>
      <w:r>
        <w:rPr>
          <w:rFonts w:ascii="宋体" w:hAnsi="宋体" w:eastAsia="宋体"/>
          <w:color w:val="auto"/>
          <w:sz w:val="28"/>
          <w:szCs w:val="28"/>
        </w:rPr>
        <w:t>月</w:t>
      </w:r>
      <w:r>
        <w:rPr>
          <w:rFonts w:hint="eastAsia" w:ascii="宋体" w:hAnsi="宋体" w:eastAsia="宋体"/>
          <w:color w:val="auto"/>
          <w:sz w:val="28"/>
          <w:szCs w:val="28"/>
          <w:lang w:val="en-US" w:eastAsia="zh-CN"/>
        </w:rPr>
        <w:t>31</w:t>
      </w:r>
      <w:r>
        <w:rPr>
          <w:rFonts w:ascii="宋体" w:hAnsi="宋体" w:eastAsia="宋体"/>
          <w:color w:val="auto"/>
          <w:sz w:val="28"/>
          <w:szCs w:val="28"/>
        </w:rPr>
        <w:t>日。</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该公司自从取得危险化学安全生产许可证以来，按照国家相关法律法规及标准规范生产，从未发生过安全生产事故，危险化学品生产装置运行情况正常，生产过程中使用的原材料主要有易燃溶剂和相关</w:t>
      </w:r>
      <w:r>
        <w:rPr>
          <w:rFonts w:hint="eastAsia" w:ascii="宋体" w:hAnsi="宋体" w:eastAsia="宋体"/>
          <w:color w:val="auto"/>
          <w:sz w:val="28"/>
          <w:szCs w:val="28"/>
          <w:lang w:eastAsia="zh-CN"/>
        </w:rPr>
        <w:t>树脂</w:t>
      </w:r>
      <w:r>
        <w:rPr>
          <w:rFonts w:ascii="宋体" w:hAnsi="宋体" w:eastAsia="宋体"/>
          <w:color w:val="auto"/>
          <w:sz w:val="28"/>
          <w:szCs w:val="28"/>
          <w:lang w:eastAsia="zh-CN"/>
        </w:rPr>
        <w:t>等，生产过程中主要存在着火灾、爆炸</w:t>
      </w:r>
      <w:r>
        <w:rPr>
          <w:rFonts w:hint="eastAsia" w:ascii="宋体" w:hAnsi="宋体" w:eastAsia="宋体"/>
          <w:color w:val="auto"/>
          <w:sz w:val="28"/>
          <w:szCs w:val="28"/>
          <w:lang w:eastAsia="zh-CN"/>
        </w:rPr>
        <w:t>、</w:t>
      </w:r>
      <w:r>
        <w:rPr>
          <w:rFonts w:ascii="宋体" w:hAnsi="宋体" w:eastAsia="宋体"/>
          <w:color w:val="auto"/>
          <w:sz w:val="28"/>
          <w:szCs w:val="28"/>
          <w:lang w:eastAsia="zh-CN"/>
        </w:rPr>
        <w:t>中毒</w:t>
      </w:r>
      <w:r>
        <w:rPr>
          <w:rFonts w:hint="eastAsia" w:ascii="宋体" w:hAnsi="宋体" w:eastAsia="宋体"/>
          <w:color w:val="auto"/>
          <w:sz w:val="28"/>
          <w:szCs w:val="28"/>
          <w:lang w:eastAsia="zh-CN"/>
        </w:rPr>
        <w:t>和</w:t>
      </w:r>
      <w:r>
        <w:rPr>
          <w:rFonts w:ascii="宋体" w:hAnsi="宋体" w:eastAsia="宋体"/>
          <w:color w:val="auto"/>
          <w:sz w:val="28"/>
          <w:szCs w:val="28"/>
          <w:lang w:eastAsia="zh-CN"/>
        </w:rPr>
        <w:t>窒息等危险、有害因素。</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按照《危险化学品安全管理条例》第六十七条规定，危险化学品生产企业应当办理危险化学品登记。</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lang w:eastAsia="zh-CN"/>
        </w:rPr>
        <w:t>已经向广东省危险化学品登记注册办公室申请了登记，并由国家安全生产监督管理总局化学品登记中心审核通过，颁发了危险化学品登记证。</w:t>
      </w:r>
    </w:p>
    <w:p>
      <w:pPr>
        <w:spacing w:line="360" w:lineRule="auto"/>
        <w:ind w:firstLine="425" w:firstLineChars="152"/>
        <w:jc w:val="both"/>
        <w:rPr>
          <w:rFonts w:hint="default" w:ascii="宋体" w:hAnsi="宋体" w:eastAsia="宋体"/>
          <w:color w:val="auto"/>
          <w:sz w:val="28"/>
          <w:szCs w:val="28"/>
          <w:lang w:val="en-US" w:eastAsia="zh-CN"/>
        </w:rPr>
      </w:pPr>
      <w:r>
        <w:rPr>
          <w:rFonts w:ascii="宋体" w:hAnsi="宋体" w:eastAsia="宋体"/>
          <w:color w:val="auto"/>
          <w:sz w:val="28"/>
          <w:szCs w:val="28"/>
          <w:lang w:eastAsia="zh-CN"/>
        </w:rPr>
        <w:t>优诺公司现有从业人员</w:t>
      </w:r>
      <w:r>
        <w:rPr>
          <w:rFonts w:hint="eastAsia" w:ascii="宋体" w:hAnsi="宋体" w:eastAsia="宋体"/>
          <w:color w:val="auto"/>
          <w:sz w:val="28"/>
          <w:szCs w:val="28"/>
          <w:lang w:val="en-US" w:eastAsia="zh-CN"/>
        </w:rPr>
        <w:t>69</w:t>
      </w:r>
      <w:r>
        <w:rPr>
          <w:rFonts w:ascii="宋体" w:hAnsi="宋体" w:eastAsia="宋体"/>
          <w:color w:val="auto"/>
          <w:sz w:val="28"/>
          <w:szCs w:val="28"/>
          <w:lang w:eastAsia="zh-CN"/>
        </w:rPr>
        <w:t>人，其中主要负责人</w:t>
      </w:r>
      <w:r>
        <w:rPr>
          <w:rFonts w:hint="eastAsia" w:ascii="宋体" w:hAnsi="宋体" w:eastAsia="宋体"/>
          <w:color w:val="auto"/>
          <w:sz w:val="28"/>
          <w:szCs w:val="28"/>
          <w:lang w:eastAsia="zh-CN"/>
        </w:rPr>
        <w:t>白映月、安全管理人员黄爱红、专职安全管理人员屈东方均持证上岗</w:t>
      </w:r>
      <w:r>
        <w:rPr>
          <w:rFonts w:ascii="宋体" w:hAnsi="宋体" w:eastAsia="宋体"/>
          <w:color w:val="auto"/>
          <w:sz w:val="28"/>
          <w:szCs w:val="28"/>
          <w:lang w:eastAsia="zh-CN"/>
        </w:rPr>
        <w:t>，</w:t>
      </w:r>
      <w:r>
        <w:rPr>
          <w:rFonts w:hint="eastAsia" w:ascii="宋体" w:hAnsi="宋体" w:eastAsia="宋体"/>
          <w:color w:val="auto"/>
          <w:sz w:val="28"/>
          <w:szCs w:val="28"/>
          <w:lang w:eastAsia="zh-CN"/>
        </w:rPr>
        <w:t>特种作业人员(叉车司机、电工)也持证上岗</w:t>
      </w:r>
      <w:r>
        <w:rPr>
          <w:rFonts w:ascii="宋体" w:hAnsi="宋体" w:eastAsia="宋体"/>
          <w:color w:val="auto"/>
          <w:sz w:val="28"/>
          <w:szCs w:val="28"/>
          <w:lang w:eastAsia="zh-CN"/>
        </w:rPr>
        <w:t>，其他从业人员经公司内部培训合格后上岗。企业基本情况如下表</w:t>
      </w:r>
      <w:r>
        <w:rPr>
          <w:rFonts w:hint="eastAsia" w:ascii="宋体" w:hAnsi="宋体" w:eastAsia="宋体"/>
          <w:color w:val="auto"/>
          <w:sz w:val="28"/>
          <w:szCs w:val="28"/>
          <w:lang w:val="en-US" w:eastAsia="zh-CN"/>
        </w:rPr>
        <w:t>2-1</w:t>
      </w:r>
      <w:r>
        <w:rPr>
          <w:rFonts w:ascii="宋体" w:hAnsi="宋体" w:eastAsia="宋体"/>
          <w:color w:val="auto"/>
          <w:sz w:val="28"/>
          <w:szCs w:val="28"/>
          <w:lang w:eastAsia="zh-CN"/>
        </w:rPr>
        <w:t>所示。</w:t>
      </w:r>
    </w:p>
    <w:p>
      <w:pPr>
        <w:rPr>
          <w:rFonts w:ascii="宋体" w:hAnsi="宋体" w:eastAsia="宋体"/>
          <w:b/>
          <w:color w:val="auto"/>
        </w:rPr>
      </w:pPr>
      <w:r>
        <w:rPr>
          <w:rFonts w:ascii="宋体" w:hAnsi="宋体" w:eastAsia="宋体"/>
          <w:b/>
          <w:color w:val="auto"/>
        </w:rPr>
        <w:br w:type="page"/>
      </w:r>
    </w:p>
    <w:p>
      <w:pPr>
        <w:spacing w:line="560" w:lineRule="exact"/>
        <w:jc w:val="center"/>
        <w:rPr>
          <w:rFonts w:ascii="宋体" w:hAnsi="宋体" w:eastAsia="宋体"/>
          <w:b/>
          <w:color w:val="auto"/>
        </w:rPr>
      </w:pPr>
      <w:r>
        <w:rPr>
          <w:rFonts w:ascii="宋体" w:hAnsi="宋体" w:eastAsia="宋体"/>
          <w:b/>
          <w:color w:val="auto"/>
        </w:rPr>
        <w:t>表2-1企业基本情况表</w:t>
      </w:r>
    </w:p>
    <w:tbl>
      <w:tblPr>
        <w:tblStyle w:val="46"/>
        <w:tblW w:w="9065" w:type="dxa"/>
        <w:tblInd w:w="118" w:type="dxa"/>
        <w:tblLayout w:type="fixed"/>
        <w:tblCellMar>
          <w:top w:w="0" w:type="dxa"/>
          <w:left w:w="0" w:type="dxa"/>
          <w:bottom w:w="0" w:type="dxa"/>
          <w:right w:w="0" w:type="dxa"/>
        </w:tblCellMar>
      </w:tblPr>
      <w:tblGrid>
        <w:gridCol w:w="1561"/>
        <w:gridCol w:w="183"/>
        <w:gridCol w:w="690"/>
        <w:gridCol w:w="425"/>
        <w:gridCol w:w="159"/>
        <w:gridCol w:w="550"/>
        <w:gridCol w:w="112"/>
        <w:gridCol w:w="360"/>
        <w:gridCol w:w="499"/>
        <w:gridCol w:w="21"/>
        <w:gridCol w:w="726"/>
        <w:gridCol w:w="266"/>
        <w:gridCol w:w="363"/>
        <w:gridCol w:w="466"/>
        <w:gridCol w:w="38"/>
        <w:gridCol w:w="126"/>
        <w:gridCol w:w="532"/>
        <w:gridCol w:w="602"/>
        <w:gridCol w:w="8"/>
        <w:gridCol w:w="36"/>
        <w:gridCol w:w="97"/>
        <w:gridCol w:w="1245"/>
      </w:tblGrid>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outlineLvl w:val="2"/>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企业名称</w:t>
            </w:r>
          </w:p>
        </w:tc>
        <w:tc>
          <w:tcPr>
            <w:tcW w:w="7504" w:type="dxa"/>
            <w:gridSpan w:val="21"/>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firstLine="420" w:firstLineChars="200"/>
              <w:jc w:val="center"/>
              <w:outlineLvl w:val="2"/>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东莞优诺电子焊接材料有限公司</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outlineLvl w:val="2"/>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注册地址</w:t>
            </w:r>
          </w:p>
        </w:tc>
        <w:tc>
          <w:tcPr>
            <w:tcW w:w="7504" w:type="dxa"/>
            <w:gridSpan w:val="21"/>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firstLine="420" w:firstLineChars="200"/>
              <w:jc w:val="center"/>
              <w:outlineLvl w:val="2"/>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广东省东莞市大岭山镇大公岭园山街10号1号楼</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联系电话</w:t>
            </w:r>
          </w:p>
        </w:tc>
        <w:tc>
          <w:tcPr>
            <w:tcW w:w="2119" w:type="dxa"/>
            <w:gridSpan w:val="6"/>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0769-85653068</w:t>
            </w:r>
          </w:p>
        </w:tc>
        <w:tc>
          <w:tcPr>
            <w:tcW w:w="859" w:type="dxa"/>
            <w:gridSpan w:val="2"/>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传真</w:t>
            </w:r>
          </w:p>
        </w:tc>
        <w:tc>
          <w:tcPr>
            <w:tcW w:w="1842" w:type="dxa"/>
            <w:gridSpan w:val="5"/>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0769-85653699</w:t>
            </w:r>
          </w:p>
        </w:tc>
        <w:tc>
          <w:tcPr>
            <w:tcW w:w="1342" w:type="dxa"/>
            <w:gridSpan w:val="6"/>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邮政编码</w:t>
            </w:r>
          </w:p>
        </w:tc>
        <w:tc>
          <w:tcPr>
            <w:tcW w:w="1342" w:type="dxa"/>
            <w:gridSpan w:val="2"/>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523829</w:t>
            </w:r>
          </w:p>
        </w:tc>
      </w:tr>
      <w:tr>
        <w:tblPrEx>
          <w:tblCellMar>
            <w:top w:w="0" w:type="dxa"/>
            <w:left w:w="0" w:type="dxa"/>
            <w:bottom w:w="0" w:type="dxa"/>
            <w:right w:w="0" w:type="dxa"/>
          </w:tblCellMar>
        </w:tblPrEx>
        <w:trPr>
          <w:trHeight w:val="397" w:hRule="exact"/>
        </w:trPr>
        <w:tc>
          <w:tcPr>
            <w:tcW w:w="1561" w:type="dxa"/>
            <w:tcBorders>
              <w:top w:val="single" w:color="000000" w:sz="2"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企业网址</w:t>
            </w:r>
          </w:p>
        </w:tc>
        <w:tc>
          <w:tcPr>
            <w:tcW w:w="7504" w:type="dxa"/>
            <w:gridSpan w:val="21"/>
            <w:tcBorders>
              <w:top w:val="single" w:color="000000" w:sz="2"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电子信箱</w:t>
            </w:r>
          </w:p>
        </w:tc>
        <w:tc>
          <w:tcPr>
            <w:tcW w:w="7504" w:type="dxa"/>
            <w:gridSpan w:val="21"/>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企业类型</w:t>
            </w:r>
          </w:p>
        </w:tc>
        <w:tc>
          <w:tcPr>
            <w:tcW w:w="7504" w:type="dxa"/>
            <w:gridSpan w:val="21"/>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有限责任公司(法人独资)</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经济性质</w:t>
            </w:r>
          </w:p>
        </w:tc>
        <w:tc>
          <w:tcPr>
            <w:tcW w:w="7504" w:type="dxa"/>
            <w:gridSpan w:val="21"/>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全民所有制()</w:t>
            </w:r>
            <w:r>
              <w:rPr>
                <w:rFonts w:hint="eastAsia" w:ascii="宋体" w:hAnsi="宋体" w:eastAsia="宋体" w:cs="宋体"/>
                <w:color w:val="auto"/>
                <w:kern w:val="2"/>
                <w:sz w:val="21"/>
                <w:szCs w:val="21"/>
              </w:rPr>
              <w:tab/>
            </w:r>
            <w:r>
              <w:rPr>
                <w:rFonts w:hint="eastAsia" w:ascii="宋体" w:hAnsi="宋体" w:eastAsia="宋体" w:cs="宋体"/>
                <w:color w:val="auto"/>
                <w:kern w:val="2"/>
                <w:sz w:val="21"/>
                <w:szCs w:val="21"/>
              </w:rPr>
              <w:t>集体所有制()</w:t>
            </w:r>
            <w:r>
              <w:rPr>
                <w:rFonts w:hint="eastAsia" w:ascii="宋体" w:hAnsi="宋体" w:eastAsia="宋体" w:cs="宋体"/>
                <w:color w:val="auto"/>
                <w:kern w:val="2"/>
                <w:sz w:val="21"/>
                <w:szCs w:val="21"/>
              </w:rPr>
              <w:tab/>
            </w:r>
            <w:r>
              <w:rPr>
                <w:rFonts w:hint="eastAsia" w:ascii="宋体" w:hAnsi="宋体" w:eastAsia="宋体" w:cs="宋体"/>
                <w:color w:val="auto"/>
                <w:kern w:val="2"/>
                <w:sz w:val="21"/>
                <w:szCs w:val="21"/>
              </w:rPr>
              <w:t>私有制(√)</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登记机关</w:t>
            </w:r>
          </w:p>
        </w:tc>
        <w:tc>
          <w:tcPr>
            <w:tcW w:w="7504" w:type="dxa"/>
            <w:gridSpan w:val="21"/>
            <w:tcBorders>
              <w:top w:val="single" w:color="000000" w:sz="4" w:space="0"/>
              <w:left w:val="single" w:color="000000" w:sz="4" w:space="0"/>
              <w:bottom w:val="single" w:color="000000" w:sz="2"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东莞市市场监督管理局</w:t>
            </w:r>
          </w:p>
        </w:tc>
      </w:tr>
      <w:tr>
        <w:tblPrEx>
          <w:tblCellMar>
            <w:top w:w="0" w:type="dxa"/>
            <w:left w:w="0" w:type="dxa"/>
            <w:bottom w:w="0" w:type="dxa"/>
            <w:right w:w="0" w:type="dxa"/>
          </w:tblCellMar>
        </w:tblPrEx>
        <w:trPr>
          <w:trHeight w:val="397" w:hRule="exact"/>
        </w:trPr>
        <w:tc>
          <w:tcPr>
            <w:tcW w:w="2859" w:type="dxa"/>
            <w:gridSpan w:val="4"/>
            <w:tcBorders>
              <w:top w:val="single" w:color="000000" w:sz="2"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法定代表人</w:t>
            </w:r>
          </w:p>
        </w:tc>
        <w:tc>
          <w:tcPr>
            <w:tcW w:w="1680" w:type="dxa"/>
            <w:gridSpan w:val="5"/>
            <w:tcBorders>
              <w:top w:val="single" w:color="000000" w:sz="2"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白映月</w:t>
            </w:r>
          </w:p>
        </w:tc>
        <w:tc>
          <w:tcPr>
            <w:tcW w:w="1376" w:type="dxa"/>
            <w:gridSpan w:val="4"/>
            <w:tcBorders>
              <w:top w:val="single" w:color="000000" w:sz="2"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12"/>
                <w:kern w:val="2"/>
                <w:sz w:val="21"/>
                <w:szCs w:val="21"/>
              </w:rPr>
              <w:t>主要负责人</w:t>
            </w:r>
          </w:p>
        </w:tc>
        <w:tc>
          <w:tcPr>
            <w:tcW w:w="3150" w:type="dxa"/>
            <w:gridSpan w:val="9"/>
            <w:tcBorders>
              <w:top w:val="single" w:color="000000" w:sz="2"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白映月</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职工人数</w:t>
            </w:r>
          </w:p>
        </w:tc>
        <w:tc>
          <w:tcPr>
            <w:tcW w:w="129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69</w:t>
            </w:r>
            <w:r>
              <w:rPr>
                <w:rFonts w:hint="eastAsia" w:ascii="宋体" w:hAnsi="宋体" w:eastAsia="宋体" w:cs="宋体"/>
                <w:color w:val="auto"/>
                <w:kern w:val="2"/>
                <w:sz w:val="21"/>
                <w:szCs w:val="21"/>
              </w:rPr>
              <w:t>人</w:t>
            </w:r>
          </w:p>
        </w:tc>
        <w:tc>
          <w:tcPr>
            <w:tcW w:w="16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技术管理人数</w:t>
            </w:r>
          </w:p>
        </w:tc>
        <w:tc>
          <w:tcPr>
            <w:tcW w:w="137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2人</w:t>
            </w:r>
          </w:p>
        </w:tc>
        <w:tc>
          <w:tcPr>
            <w:tcW w:w="176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安全管理人数</w:t>
            </w:r>
          </w:p>
        </w:tc>
        <w:tc>
          <w:tcPr>
            <w:tcW w:w="13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rPr>
              <w:t>人</w:t>
            </w:r>
          </w:p>
        </w:tc>
      </w:tr>
      <w:tr>
        <w:tblPrEx>
          <w:tblCellMar>
            <w:top w:w="0" w:type="dxa"/>
            <w:left w:w="0" w:type="dxa"/>
            <w:bottom w:w="0" w:type="dxa"/>
            <w:right w:w="0" w:type="dxa"/>
          </w:tblCellMar>
        </w:tblPrEx>
        <w:trPr>
          <w:trHeight w:val="397" w:hRule="exact"/>
        </w:trPr>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注册资本</w:t>
            </w:r>
          </w:p>
        </w:tc>
        <w:tc>
          <w:tcPr>
            <w:tcW w:w="1298" w:type="dxa"/>
            <w:gridSpan w:val="3"/>
            <w:tcBorders>
              <w:top w:val="single" w:color="000000" w:sz="4" w:space="0"/>
              <w:left w:val="single" w:color="000000" w:sz="4" w:space="0"/>
              <w:bottom w:val="single" w:color="000000" w:sz="4" w:space="0"/>
              <w:right w:val="single" w:color="000000" w:sz="2"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14191764</w:t>
            </w:r>
            <w:r>
              <w:rPr>
                <w:rFonts w:hint="eastAsia" w:ascii="宋体" w:hAnsi="宋体" w:eastAsia="宋体" w:cs="宋体"/>
                <w:color w:val="auto"/>
                <w:kern w:val="2"/>
                <w:sz w:val="21"/>
                <w:szCs w:val="21"/>
              </w:rPr>
              <w:t>元</w:t>
            </w:r>
          </w:p>
        </w:tc>
        <w:tc>
          <w:tcPr>
            <w:tcW w:w="1680" w:type="dxa"/>
            <w:gridSpan w:val="5"/>
            <w:tcBorders>
              <w:top w:val="single" w:color="000000" w:sz="4" w:space="0"/>
              <w:left w:val="single" w:color="000000" w:sz="2"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固定资产</w:t>
            </w:r>
          </w:p>
        </w:tc>
        <w:tc>
          <w:tcPr>
            <w:tcW w:w="137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6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上年销售额</w:t>
            </w:r>
          </w:p>
        </w:tc>
        <w:tc>
          <w:tcPr>
            <w:tcW w:w="1988"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3200</w:t>
            </w:r>
            <w:r>
              <w:rPr>
                <w:rFonts w:hint="eastAsia" w:ascii="宋体" w:hAnsi="宋体" w:eastAsia="宋体" w:cs="宋体"/>
                <w:color w:val="auto"/>
                <w:kern w:val="2"/>
                <w:sz w:val="21"/>
                <w:szCs w:val="21"/>
              </w:rPr>
              <w:t>万元人民币</w:t>
            </w:r>
          </w:p>
        </w:tc>
      </w:tr>
      <w:tr>
        <w:tblPrEx>
          <w:tblCellMar>
            <w:top w:w="0" w:type="dxa"/>
            <w:left w:w="0" w:type="dxa"/>
            <w:bottom w:w="0" w:type="dxa"/>
            <w:right w:w="0" w:type="dxa"/>
          </w:tblCellMar>
        </w:tblPrEx>
        <w:trPr>
          <w:trHeight w:val="445" w:hRule="atLeast"/>
        </w:trPr>
        <w:tc>
          <w:tcPr>
            <w:tcW w:w="9065" w:type="dxa"/>
            <w:gridSpan w:val="22"/>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原许可生产的危险化学品</w:t>
            </w:r>
          </w:p>
        </w:tc>
      </w:tr>
      <w:tr>
        <w:tblPrEx>
          <w:tblCellMar>
            <w:top w:w="0" w:type="dxa"/>
            <w:left w:w="0" w:type="dxa"/>
            <w:bottom w:w="0" w:type="dxa"/>
            <w:right w:w="0" w:type="dxa"/>
          </w:tblCellMar>
        </w:tblPrEx>
        <w:trPr>
          <w:trHeight w:val="279" w:hRule="atLeast"/>
        </w:trPr>
        <w:tc>
          <w:tcPr>
            <w:tcW w:w="243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品名</w:t>
            </w:r>
          </w:p>
        </w:tc>
        <w:tc>
          <w:tcPr>
            <w:tcW w:w="1134"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别名</w:t>
            </w:r>
          </w:p>
        </w:tc>
        <w:tc>
          <w:tcPr>
            <w:tcW w:w="992"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992"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CAS号</w:t>
            </w:r>
          </w:p>
        </w:tc>
        <w:tc>
          <w:tcPr>
            <w:tcW w:w="993"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火灾危险性类别</w:t>
            </w:r>
          </w:p>
        </w:tc>
        <w:tc>
          <w:tcPr>
            <w:tcW w:w="1275" w:type="dxa"/>
            <w:gridSpan w:val="5"/>
            <w:tcBorders>
              <w:top w:val="single" w:color="000000" w:sz="4" w:space="0"/>
              <w:left w:val="single" w:color="auto" w:sz="4" w:space="0"/>
              <w:bottom w:val="single" w:color="000000"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年产量(t/a)</w:t>
            </w:r>
          </w:p>
        </w:tc>
        <w:tc>
          <w:tcPr>
            <w:tcW w:w="124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最大储量(t)</w:t>
            </w:r>
          </w:p>
        </w:tc>
      </w:tr>
      <w:tr>
        <w:tblPrEx>
          <w:tblCellMar>
            <w:top w:w="0" w:type="dxa"/>
            <w:left w:w="0" w:type="dxa"/>
            <w:bottom w:w="0" w:type="dxa"/>
            <w:right w:w="0" w:type="dxa"/>
          </w:tblCellMar>
        </w:tblPrEx>
        <w:trPr>
          <w:trHeight w:val="454" w:hRule="exact"/>
        </w:trPr>
        <w:tc>
          <w:tcPr>
            <w:tcW w:w="2434" w:type="dxa"/>
            <w:gridSpan w:val="3"/>
            <w:tcBorders>
              <w:top w:val="single" w:color="000000"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快干助焊剂</w:t>
            </w:r>
            <w:r>
              <w:rPr>
                <w:rFonts w:hint="eastAsia" w:ascii="宋体" w:hAnsi="宋体" w:eastAsia="宋体" w:cs="宋体"/>
                <w:color w:val="auto"/>
                <w:kern w:val="0"/>
                <w:sz w:val="21"/>
                <w:szCs w:val="21"/>
              </w:rPr>
              <w:t>(序号2828)</w:t>
            </w:r>
          </w:p>
        </w:tc>
        <w:tc>
          <w:tcPr>
            <w:tcW w:w="1134" w:type="dxa"/>
            <w:gridSpan w:val="3"/>
            <w:tcBorders>
              <w:top w:val="single" w:color="000000"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92" w:type="dxa"/>
            <w:gridSpan w:val="4"/>
            <w:tcBorders>
              <w:top w:val="single" w:color="000000"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2828</w:t>
            </w:r>
          </w:p>
        </w:tc>
        <w:tc>
          <w:tcPr>
            <w:tcW w:w="992" w:type="dxa"/>
            <w:gridSpan w:val="2"/>
            <w:tcBorders>
              <w:top w:val="single" w:color="000000"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93" w:type="dxa"/>
            <w:gridSpan w:val="4"/>
            <w:tcBorders>
              <w:top w:val="single" w:color="000000"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甲类</w:t>
            </w:r>
          </w:p>
        </w:tc>
        <w:tc>
          <w:tcPr>
            <w:tcW w:w="1275" w:type="dxa"/>
            <w:gridSpan w:val="5"/>
            <w:tcBorders>
              <w:top w:val="single" w:color="000000"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700</w:t>
            </w:r>
          </w:p>
        </w:tc>
        <w:tc>
          <w:tcPr>
            <w:tcW w:w="1245" w:type="dxa"/>
            <w:tcBorders>
              <w:top w:val="single" w:color="000000"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30</w:t>
            </w:r>
          </w:p>
        </w:tc>
      </w:tr>
      <w:tr>
        <w:tblPrEx>
          <w:tblCellMar>
            <w:top w:w="0" w:type="dxa"/>
            <w:left w:w="0" w:type="dxa"/>
            <w:bottom w:w="0" w:type="dxa"/>
            <w:right w:w="0" w:type="dxa"/>
          </w:tblCellMar>
        </w:tblPrEx>
        <w:trPr>
          <w:trHeight w:val="454" w:hRule="exact"/>
        </w:trPr>
        <w:tc>
          <w:tcPr>
            <w:tcW w:w="2434" w:type="dxa"/>
            <w:gridSpan w:val="3"/>
            <w:tcBorders>
              <w:top w:val="single" w:color="000000"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2-丙醇</w:t>
            </w:r>
            <w:r>
              <w:rPr>
                <w:rFonts w:hint="eastAsia" w:ascii="宋体" w:hAnsi="宋体" w:eastAsia="宋体" w:cs="宋体"/>
                <w:color w:val="auto"/>
                <w:kern w:val="0"/>
                <w:sz w:val="21"/>
                <w:szCs w:val="21"/>
              </w:rPr>
              <w:t>(序号111)</w:t>
            </w:r>
          </w:p>
        </w:tc>
        <w:tc>
          <w:tcPr>
            <w:tcW w:w="1134" w:type="dxa"/>
            <w:gridSpan w:val="3"/>
            <w:tcBorders>
              <w:top w:val="single" w:color="000000"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92" w:type="dxa"/>
            <w:gridSpan w:val="4"/>
            <w:tcBorders>
              <w:top w:val="single" w:color="000000"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111</w:t>
            </w:r>
          </w:p>
        </w:tc>
        <w:tc>
          <w:tcPr>
            <w:tcW w:w="992" w:type="dxa"/>
            <w:gridSpan w:val="2"/>
            <w:tcBorders>
              <w:top w:val="single" w:color="000000"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93" w:type="dxa"/>
            <w:gridSpan w:val="4"/>
            <w:tcBorders>
              <w:top w:val="single" w:color="000000"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甲类</w:t>
            </w:r>
          </w:p>
        </w:tc>
        <w:tc>
          <w:tcPr>
            <w:tcW w:w="1275" w:type="dxa"/>
            <w:gridSpan w:val="5"/>
            <w:tcBorders>
              <w:top w:val="single" w:color="000000"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180</w:t>
            </w:r>
          </w:p>
        </w:tc>
        <w:tc>
          <w:tcPr>
            <w:tcW w:w="1245" w:type="dxa"/>
            <w:tcBorders>
              <w:top w:val="single" w:color="000000"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r>
      <w:tr>
        <w:tblPrEx>
          <w:tblCellMar>
            <w:top w:w="0" w:type="dxa"/>
            <w:left w:w="0" w:type="dxa"/>
            <w:bottom w:w="0" w:type="dxa"/>
            <w:right w:w="0" w:type="dxa"/>
          </w:tblCellMar>
        </w:tblPrEx>
        <w:trPr>
          <w:trHeight w:val="454" w:hRule="exact"/>
        </w:trPr>
        <w:tc>
          <w:tcPr>
            <w:tcW w:w="243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清洗剂(序号2828)</w:t>
            </w:r>
          </w:p>
        </w:tc>
        <w:tc>
          <w:tcPr>
            <w:tcW w:w="1134"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92" w:type="dxa"/>
            <w:gridSpan w:val="4"/>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2828</w:t>
            </w:r>
          </w:p>
        </w:tc>
        <w:tc>
          <w:tcPr>
            <w:tcW w:w="992"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9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戊类</w:t>
            </w:r>
          </w:p>
        </w:tc>
        <w:tc>
          <w:tcPr>
            <w:tcW w:w="1275"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120</w:t>
            </w:r>
          </w:p>
        </w:tc>
        <w:tc>
          <w:tcPr>
            <w:tcW w:w="1245"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r>
      <w:tr>
        <w:tblPrEx>
          <w:tblCellMar>
            <w:top w:w="0" w:type="dxa"/>
            <w:left w:w="0" w:type="dxa"/>
            <w:bottom w:w="0" w:type="dxa"/>
            <w:right w:w="0" w:type="dxa"/>
          </w:tblCellMar>
        </w:tblPrEx>
        <w:trPr>
          <w:trHeight w:val="459" w:hRule="atLeast"/>
        </w:trPr>
        <w:tc>
          <w:tcPr>
            <w:tcW w:w="9065" w:type="dxa"/>
            <w:gridSpan w:val="22"/>
            <w:tcBorders>
              <w:top w:val="single" w:color="auto" w:sz="4" w:space="0"/>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rPr>
              <w:t>主要原料</w:t>
            </w:r>
            <w:r>
              <w:rPr>
                <w:rFonts w:hint="eastAsia" w:ascii="宋体" w:hAnsi="宋体" w:eastAsia="宋体" w:cs="宋体"/>
                <w:color w:val="auto"/>
                <w:kern w:val="2"/>
                <w:sz w:val="21"/>
                <w:szCs w:val="21"/>
                <w:lang w:eastAsia="zh-CN"/>
              </w:rPr>
              <w:t>（补充下表信息及对应</w:t>
            </w:r>
            <w:r>
              <w:rPr>
                <w:rFonts w:hint="eastAsia" w:ascii="宋体" w:hAnsi="宋体" w:eastAsia="宋体" w:cs="宋体"/>
                <w:color w:val="auto"/>
                <w:kern w:val="2"/>
                <w:sz w:val="21"/>
                <w:szCs w:val="21"/>
                <w:lang w:val="en-US" w:eastAsia="zh-CN"/>
              </w:rPr>
              <w:t>MSDS）</w:t>
            </w:r>
          </w:p>
        </w:tc>
      </w:tr>
      <w:tr>
        <w:tblPrEx>
          <w:tblCellMar>
            <w:top w:w="0" w:type="dxa"/>
            <w:left w:w="0" w:type="dxa"/>
            <w:bottom w:w="0" w:type="dxa"/>
            <w:right w:w="0" w:type="dxa"/>
          </w:tblCellMar>
        </w:tblPrEx>
        <w:trPr>
          <w:trHeight w:val="255" w:hRule="atLeas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品名</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别名</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CAS号</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火灾危险性类别</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年用量(t/a)</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最大库存量(t)</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环己烷</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六氢化苯</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953</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110-82-7</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400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乙醇[无水]</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无水酒精</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2568</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64-17-5</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2-丙醇</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异丙醇</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111</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67-63-0</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160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壬基酚聚氧乙烯醚</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NP-10</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1726</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9016-45-9</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丙类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熟松香</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丙类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0.5</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丁二酸</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丙类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0.5</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硫酸</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val="en-US" w:eastAsia="zh-CN"/>
              </w:rPr>
              <w:t>1302</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rPr>
              <w:t>7664-93-9</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eastAsia="zh-CN"/>
              </w:rPr>
              <w:t>戊类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200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15</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zh-TW" w:eastAsia="zh-CN"/>
              </w:rPr>
              <w:t>正磷酸</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rPr>
            </w:pPr>
            <w:r>
              <w:rPr>
                <w:rFonts w:hint="eastAsia" w:ascii="宋体" w:hAnsi="宋体" w:eastAsia="宋体" w:cs="宋体"/>
                <w:color w:val="auto"/>
                <w:kern w:val="2"/>
                <w:sz w:val="21"/>
                <w:szCs w:val="21"/>
                <w:lang w:val="zh-TW" w:eastAsia="zh-CN"/>
              </w:rPr>
              <w:t>磷酸</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val="en-US" w:eastAsia="zh-CN"/>
              </w:rPr>
              <w:t>2790</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rPr>
              <w:t>7664-38-2</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eastAsia="zh-CN"/>
              </w:rPr>
              <w:t>戊类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bidi="zh-TW"/>
              </w:rPr>
              <w:t>8</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1</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氢氧化钠</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rPr>
            </w:pPr>
            <w:r>
              <w:rPr>
                <w:rFonts w:hint="eastAsia" w:ascii="宋体" w:hAnsi="宋体" w:eastAsia="宋体" w:cs="宋体"/>
                <w:color w:val="auto"/>
                <w:kern w:val="2"/>
                <w:sz w:val="21"/>
                <w:szCs w:val="21"/>
                <w:lang w:val="zh-TW" w:eastAsia="zh-CN"/>
              </w:rPr>
              <w:t>烧碱</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val="en-US" w:eastAsia="zh-CN"/>
              </w:rPr>
              <w:t>1669</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rPr>
              <w:t>1310-73-2</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eastAsia="zh-CN"/>
              </w:rPr>
              <w:t>戊类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10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1</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脂肪醇聚氧乙烯醚</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val="en-US" w:eastAsia="zh-CN"/>
              </w:rPr>
              <w:t>/</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eastAsia="zh-CN"/>
              </w:rPr>
              <w:t>丙类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55</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5</w:t>
            </w:r>
          </w:p>
        </w:tc>
      </w:tr>
      <w:tr>
        <w:tblPrEx>
          <w:tblCellMar>
            <w:top w:w="0" w:type="dxa"/>
            <w:left w:w="0" w:type="dxa"/>
            <w:bottom w:w="0" w:type="dxa"/>
            <w:right w:w="0" w:type="dxa"/>
          </w:tblCellMar>
        </w:tblPrEx>
        <w:trPr>
          <w:trHeight w:val="454" w:hRule="exact"/>
        </w:trPr>
        <w:tc>
          <w:tcPr>
            <w:tcW w:w="1744" w:type="dxa"/>
            <w:gridSpan w:val="2"/>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二乙二醇二丁醚</w:t>
            </w:r>
          </w:p>
        </w:tc>
        <w:tc>
          <w:tcPr>
            <w:tcW w:w="1274" w:type="dxa"/>
            <w:gridSpan w:val="3"/>
            <w:tcBorders>
              <w:top w:val="single" w:color="auto" w:sz="4" w:space="0"/>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1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val="en-US" w:eastAsia="zh-CN"/>
              </w:rPr>
              <w:t>/</w:t>
            </w:r>
          </w:p>
        </w:tc>
        <w:tc>
          <w:tcPr>
            <w:tcW w:w="12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w:t>
            </w:r>
          </w:p>
        </w:tc>
        <w:tc>
          <w:tcPr>
            <w:tcW w:w="113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eastAsia="zh-CN"/>
              </w:rPr>
              <w:t>丙类</w:t>
            </w:r>
          </w:p>
        </w:tc>
        <w:tc>
          <w:tcPr>
            <w:tcW w:w="126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60</w:t>
            </w:r>
          </w:p>
        </w:tc>
        <w:tc>
          <w:tcPr>
            <w:tcW w:w="1378"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jc w:val="both"/>
        <w:textAlignment w:val="auto"/>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2.1.2自然条件</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1)气温</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该公司位于广东省东莞市大岭山镇太公岭园山街10号1号楼历年最高气温为37.8℃，最低气温为3.1℃，1996～2000年，年平均气温23.1℃。最暖为1998年，年平均气温为23.6℃，最冷为1996年，年平均气温为22.7C。年平均日照1873.7h,其中2000年日照时数最多，达2059.5h,最少为1997年，仅有1558.1h。</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2)风</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年主导风向为北风，夏季主导风向为东南风，冬季主导风向为北风，年平均风速为2.0m/s。</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3)降水量</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1996～2000年，年平均降水量1819.9mm，最为为1997年，年降水量2074.0mm，最少为1996年，年降水量1547.4mm，常年降雨量为1500～2000mm。</w:t>
      </w:r>
    </w:p>
    <w:p>
      <w:pPr>
        <w:spacing w:line="360" w:lineRule="auto"/>
        <w:ind w:firstLine="425" w:firstLineChars="152"/>
        <w:jc w:val="both"/>
        <w:rPr>
          <w:rFonts w:hint="eastAsia" w:ascii="宋体" w:hAnsi="宋体" w:eastAsia="宋体" w:cs="宋体"/>
          <w:color w:val="auto"/>
          <w:sz w:val="28"/>
          <w:szCs w:val="28"/>
        </w:rPr>
      </w:pPr>
      <w:r>
        <w:rPr>
          <w:rFonts w:hint="eastAsia" w:ascii="宋体" w:hAnsi="宋体" w:eastAsia="宋体" w:cs="宋体"/>
          <w:color w:val="auto"/>
          <w:sz w:val="28"/>
          <w:szCs w:val="28"/>
        </w:rPr>
        <w:t>4)雷暴</w:t>
      </w:r>
    </w:p>
    <w:p>
      <w:pPr>
        <w:spacing w:line="360" w:lineRule="auto"/>
        <w:ind w:firstLine="425" w:firstLineChars="152"/>
        <w:jc w:val="both"/>
        <w:rPr>
          <w:rFonts w:hint="eastAsia" w:ascii="宋体" w:hAnsi="宋体" w:eastAsia="宋体" w:cs="宋体"/>
          <w:color w:val="auto"/>
          <w:sz w:val="28"/>
          <w:szCs w:val="28"/>
        </w:rPr>
      </w:pPr>
      <w:r>
        <w:rPr>
          <w:rFonts w:hint="eastAsia" w:ascii="宋体" w:hAnsi="宋体" w:eastAsia="宋体" w:cs="宋体"/>
          <w:color w:val="auto"/>
          <w:sz w:val="28"/>
          <w:szCs w:val="28"/>
        </w:rPr>
        <w:t>年平均雷暴日81.3日。</w:t>
      </w:r>
    </w:p>
    <w:p>
      <w:pPr>
        <w:spacing w:line="360" w:lineRule="auto"/>
        <w:ind w:firstLine="425" w:firstLineChars="152"/>
        <w:jc w:val="both"/>
        <w:rPr>
          <w:rFonts w:hint="eastAsia" w:ascii="宋体" w:hAnsi="宋体" w:eastAsia="宋体" w:cs="宋体"/>
          <w:color w:val="auto"/>
          <w:sz w:val="28"/>
          <w:szCs w:val="28"/>
        </w:rPr>
      </w:pPr>
      <w:r>
        <w:rPr>
          <w:rFonts w:hint="eastAsia" w:ascii="宋体" w:hAnsi="宋体" w:eastAsia="宋体" w:cs="宋体"/>
          <w:color w:val="auto"/>
          <w:sz w:val="28"/>
          <w:szCs w:val="28"/>
        </w:rPr>
        <w:t>5)地震</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根据《建筑抗震设计规范》（GB50011-2010）查询结果，广东省东莞市抗震设防烈度为6度，设计基本地震加速度值为0.05g。</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18" w:name="bookmark14"/>
      <w:r>
        <w:rPr>
          <w:rFonts w:ascii="宋体" w:hAnsi="宋体" w:eastAsia="宋体" w:cs="Times New Roman"/>
          <w:b/>
          <w:bCs w:val="0"/>
          <w:color w:val="auto"/>
          <w:kern w:val="2"/>
          <w:sz w:val="28"/>
          <w:szCs w:val="28"/>
          <w:lang w:val="en-US" w:eastAsia="zh-CN" w:bidi="ar-SA"/>
        </w:rPr>
        <w:t>2.1.3周边环境</w:t>
      </w:r>
      <w:bookmarkEnd w:id="18"/>
    </w:p>
    <w:p>
      <w:pPr>
        <w:spacing w:line="360" w:lineRule="auto"/>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该公司厂区四周设置非燃烧实体围墙，厂区共设置</w:t>
      </w:r>
      <w:r>
        <w:rPr>
          <w:rFonts w:hint="eastAsia" w:ascii="宋体" w:hAnsi="宋体" w:eastAsia="宋体"/>
          <w:color w:val="auto"/>
          <w:sz w:val="28"/>
          <w:szCs w:val="28"/>
          <w:lang w:val="en-US" w:eastAsia="zh-CN"/>
        </w:rPr>
        <w:t>2</w:t>
      </w:r>
      <w:r>
        <w:rPr>
          <w:rFonts w:hint="eastAsia" w:ascii="宋体" w:hAnsi="宋体" w:eastAsia="宋体"/>
          <w:color w:val="auto"/>
          <w:sz w:val="28"/>
          <w:szCs w:val="28"/>
          <w:lang w:eastAsia="zh-CN"/>
        </w:rPr>
        <w:t>个出入口，</w:t>
      </w:r>
      <w:r>
        <w:rPr>
          <w:rFonts w:hint="eastAsia" w:ascii="宋体" w:hAnsi="宋体" w:eastAsia="宋体"/>
          <w:color w:val="auto"/>
          <w:sz w:val="28"/>
          <w:szCs w:val="28"/>
          <w:lang w:val="en-US" w:eastAsia="zh-CN"/>
        </w:rPr>
        <w:t>1个为厂区北面生产区域出入口，1个为厂区东南面生活区域出入口</w:t>
      </w:r>
      <w:r>
        <w:rPr>
          <w:rFonts w:hint="eastAsia" w:ascii="宋体" w:hAnsi="宋体" w:eastAsia="宋体"/>
          <w:color w:val="auto"/>
          <w:sz w:val="28"/>
          <w:szCs w:val="28"/>
          <w:lang w:eastAsia="zh-CN"/>
        </w:rPr>
        <w:t>。</w:t>
      </w:r>
    </w:p>
    <w:p>
      <w:pPr>
        <w:spacing w:line="360" w:lineRule="auto"/>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东南面：围墙外是村委道路，道路对面为东莞市福创再生资源回收有限公司；</w:t>
      </w:r>
    </w:p>
    <w:p>
      <w:pPr>
        <w:spacing w:line="360" w:lineRule="auto"/>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西面：为该公司厂房一(厂房A、东莞优邦自动化)，现外租给东莞市优邦自动化设备有限公司，外租厂房与优诺公司之间设置有实体围墙，外租厂房西面围墙外为太公岭村村委会；</w:t>
      </w:r>
    </w:p>
    <w:p>
      <w:pPr>
        <w:spacing w:line="360" w:lineRule="auto"/>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东面：围墙外为民房；</w:t>
      </w:r>
    </w:p>
    <w:p>
      <w:pPr>
        <w:spacing w:line="360" w:lineRule="auto"/>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西北面：围墙外为厂外市政道路，道路对面为空地。</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厂区周围地势平坦开阔，所在地段属工业区工业用地，周边无住宅区、学校、商场、医院等，无需保留之古建筑、构筑物及古树。</w:t>
      </w:r>
    </w:p>
    <w:p>
      <w:pPr>
        <w:spacing w:line="360" w:lineRule="auto"/>
        <w:ind w:firstLine="425" w:firstLineChars="152"/>
        <w:jc w:val="both"/>
        <w:rPr>
          <w:rFonts w:ascii="宋体" w:hAnsi="宋体" w:eastAsia="宋体"/>
          <w:b/>
          <w:color w:val="auto"/>
          <w:sz w:val="28"/>
          <w:szCs w:val="28"/>
        </w:rPr>
      </w:pPr>
      <w:r>
        <w:rPr>
          <w:rFonts w:ascii="宋体" w:hAnsi="宋体" w:eastAsia="宋体"/>
          <w:color w:val="auto"/>
          <w:sz w:val="28"/>
          <w:szCs w:val="28"/>
          <w:lang w:eastAsia="zh-CN"/>
        </w:rPr>
        <w:t>厂区周围100m范围内没有重要的政治和文化设施，也没有自然保护区、水源保护区、文物保护建筑。</w:t>
      </w:r>
    </w:p>
    <w:p>
      <w:pPr>
        <w:spacing w:line="560" w:lineRule="exact"/>
        <w:jc w:val="center"/>
        <w:rPr>
          <w:rFonts w:ascii="宋体" w:hAnsi="宋体" w:eastAsia="宋体"/>
          <w:b/>
          <w:color w:val="auto"/>
        </w:rPr>
      </w:pPr>
      <w:r>
        <w:rPr>
          <w:rFonts w:ascii="宋体" w:hAnsi="宋体" w:eastAsia="宋体"/>
          <w:b/>
          <w:color w:val="auto"/>
        </w:rPr>
        <w:t>表2-2</w:t>
      </w:r>
      <w:r>
        <w:rPr>
          <w:rFonts w:hint="eastAsia" w:ascii="宋体" w:hAnsi="宋体" w:eastAsia="宋体"/>
          <w:b/>
          <w:color w:val="auto"/>
        </w:rPr>
        <w:t>与周边建（构）筑物间距一览表</w:t>
      </w: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850"/>
        <w:gridCol w:w="1505"/>
        <w:gridCol w:w="1984"/>
        <w:gridCol w:w="1043"/>
        <w:gridCol w:w="1215"/>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序号</w:t>
            </w:r>
          </w:p>
        </w:tc>
        <w:tc>
          <w:tcPr>
            <w:tcW w:w="850"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方位</w:t>
            </w:r>
          </w:p>
        </w:tc>
        <w:tc>
          <w:tcPr>
            <w:tcW w:w="150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周边建（构）筑物名称</w:t>
            </w:r>
          </w:p>
        </w:tc>
        <w:tc>
          <w:tcPr>
            <w:tcW w:w="1984"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项目最近建筑物</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实际间距（m）</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标准距离（m）</w:t>
            </w:r>
          </w:p>
        </w:tc>
        <w:tc>
          <w:tcPr>
            <w:tcW w:w="247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eastAsia" w:ascii="宋体" w:hAnsi="宋体" w:eastAsia="宋体"/>
                <w:b/>
                <w:color w:val="auto"/>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restart"/>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1</w:t>
            </w:r>
          </w:p>
        </w:tc>
        <w:tc>
          <w:tcPr>
            <w:tcW w:w="850"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rPr>
              <w:t>东</w:t>
            </w:r>
            <w:r>
              <w:rPr>
                <w:rFonts w:hint="eastAsia" w:ascii="宋体" w:hAnsi="宋体" w:eastAsia="宋体"/>
                <w:color w:val="auto"/>
                <w:kern w:val="2"/>
                <w:sz w:val="21"/>
                <w:szCs w:val="21"/>
                <w:lang w:eastAsia="zh-CN"/>
              </w:rPr>
              <w:t>南</w:t>
            </w:r>
          </w:p>
        </w:tc>
        <w:tc>
          <w:tcPr>
            <w:tcW w:w="1505" w:type="dxa"/>
            <w:vMerge w:val="restart"/>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东莞市福创再生资源回收有限公司（丙类厂房，耐火等级二级）</w:t>
            </w: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厂房四（厂房C）</w:t>
            </w:r>
          </w:p>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（单层甲类厂房，耐火等级二级）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51</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12</w:t>
            </w:r>
          </w:p>
        </w:tc>
        <w:tc>
          <w:tcPr>
            <w:tcW w:w="247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库房一(仓库A)</w:t>
            </w:r>
          </w:p>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（单层甲类仓库，耐火等级二级）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76</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15</w:t>
            </w:r>
          </w:p>
        </w:tc>
        <w:tc>
          <w:tcPr>
            <w:tcW w:w="247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厂房三(厂房B)</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（单层丙类厂房，耐火等级二级）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21</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10</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实验室</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（民用建筑）</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48</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10</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2</w:t>
            </w:r>
          </w:p>
        </w:tc>
        <w:tc>
          <w:tcPr>
            <w:tcW w:w="850"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西</w:t>
            </w:r>
          </w:p>
        </w:tc>
        <w:tc>
          <w:tcPr>
            <w:tcW w:w="1505" w:type="dxa"/>
            <w:vMerge w:val="restart"/>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东莞市优邦自动化设备有限公司（戊类厂房，耐火等级二级）</w:t>
            </w: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厂房四（厂房C）</w:t>
            </w:r>
          </w:p>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（单层甲类厂房，耐火等级二级）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15</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12</w:t>
            </w:r>
          </w:p>
        </w:tc>
        <w:tc>
          <w:tcPr>
            <w:tcW w:w="247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库房一(仓库A)</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（单层甲类仓库，耐火等级二级）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15</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rPr>
              <w:t>15</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厂房三(厂房B)</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（单层丙类厂房，耐火等级二级）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51</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lang w:val="en-US" w:eastAsia="zh-CN"/>
              </w:rPr>
              <w:t>10</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实验室</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（民用建筑）</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91</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lang w:val="en-US" w:eastAsia="zh-CN"/>
              </w:rPr>
              <w:t>10</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3</w:t>
            </w:r>
          </w:p>
        </w:tc>
        <w:tc>
          <w:tcPr>
            <w:tcW w:w="850"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东</w:t>
            </w:r>
          </w:p>
        </w:tc>
        <w:tc>
          <w:tcPr>
            <w:tcW w:w="1505"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民房</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（多层民用建筑）</w:t>
            </w: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厂房四（厂房C）</w:t>
            </w:r>
          </w:p>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zh-TW" w:eastAsia="zh-TW"/>
              </w:rPr>
            </w:pPr>
            <w:r>
              <w:rPr>
                <w:rFonts w:hint="eastAsia" w:ascii="宋体" w:hAnsi="宋体" w:eastAsia="宋体"/>
                <w:color w:val="auto"/>
                <w:kern w:val="2"/>
                <w:sz w:val="21"/>
                <w:szCs w:val="21"/>
                <w:lang w:eastAsia="zh-CN"/>
              </w:rPr>
              <w:t>（单层甲类厂房，耐火等级二级）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85</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25</w:t>
            </w:r>
          </w:p>
        </w:tc>
        <w:tc>
          <w:tcPr>
            <w:tcW w:w="247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库房一(仓库A)</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zh-TW" w:eastAsia="zh-TW"/>
              </w:rPr>
            </w:pPr>
            <w:r>
              <w:rPr>
                <w:rFonts w:hint="eastAsia" w:ascii="宋体" w:hAnsi="宋体" w:eastAsia="宋体"/>
                <w:color w:val="auto"/>
                <w:kern w:val="2"/>
                <w:sz w:val="21"/>
                <w:szCs w:val="21"/>
                <w:lang w:eastAsia="zh-CN"/>
              </w:rPr>
              <w:t>（单层甲类仓库，耐火等级二级）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86</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30</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厂房三(厂房B)</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zh-TW" w:eastAsia="zh-TW"/>
              </w:rPr>
            </w:pPr>
            <w:r>
              <w:rPr>
                <w:rFonts w:hint="eastAsia" w:ascii="宋体" w:hAnsi="宋体" w:eastAsia="宋体"/>
                <w:color w:val="auto"/>
                <w:kern w:val="2"/>
                <w:sz w:val="21"/>
                <w:szCs w:val="21"/>
                <w:lang w:eastAsia="zh-CN"/>
              </w:rPr>
              <w:t>（单层丙类厂房，耐火等级二级）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56</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zh-TW" w:eastAsia="zh-TW"/>
              </w:rPr>
            </w:pPr>
            <w:r>
              <w:rPr>
                <w:rFonts w:hint="eastAsia" w:ascii="宋体" w:hAnsi="宋体" w:eastAsia="宋体"/>
                <w:color w:val="auto"/>
                <w:kern w:val="2"/>
                <w:sz w:val="21"/>
                <w:szCs w:val="21"/>
                <w:lang w:val="en-US" w:eastAsia="zh-CN"/>
              </w:rPr>
              <w:t>10</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restart"/>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val="en-US" w:eastAsia="zh-CN"/>
              </w:rPr>
              <w:t>4</w:t>
            </w:r>
          </w:p>
        </w:tc>
        <w:tc>
          <w:tcPr>
            <w:tcW w:w="850" w:type="dxa"/>
            <w:vMerge w:val="restart"/>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西北</w:t>
            </w:r>
          </w:p>
        </w:tc>
        <w:tc>
          <w:tcPr>
            <w:tcW w:w="1505"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厂外市政道路</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（次要道路）</w:t>
            </w: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厂房四（厂房C）</w:t>
            </w:r>
          </w:p>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zh-TW" w:eastAsia="zh-TW"/>
              </w:rPr>
            </w:pPr>
            <w:r>
              <w:rPr>
                <w:rFonts w:hint="eastAsia" w:ascii="宋体" w:hAnsi="宋体" w:eastAsia="宋体"/>
                <w:color w:val="auto"/>
                <w:kern w:val="2"/>
                <w:sz w:val="21"/>
                <w:szCs w:val="21"/>
                <w:lang w:eastAsia="zh-CN"/>
              </w:rPr>
              <w:t>（单层甲类厂房，耐火等级二级）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54</w:t>
            </w:r>
          </w:p>
        </w:tc>
        <w:tc>
          <w:tcPr>
            <w:tcW w:w="121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w:t>
            </w:r>
          </w:p>
        </w:tc>
        <w:tc>
          <w:tcPr>
            <w:tcW w:w="2475"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库房一(仓库A)</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zh-TW" w:eastAsia="zh-TW"/>
              </w:rPr>
            </w:pPr>
            <w:r>
              <w:rPr>
                <w:rFonts w:hint="eastAsia" w:ascii="宋体" w:hAnsi="宋体" w:eastAsia="宋体"/>
                <w:color w:val="auto"/>
                <w:kern w:val="2"/>
                <w:sz w:val="21"/>
                <w:szCs w:val="21"/>
                <w:lang w:eastAsia="zh-CN"/>
              </w:rPr>
              <w:t>（单层甲类仓库，耐火等级二级）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16</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w:t>
            </w:r>
          </w:p>
        </w:tc>
        <w:tc>
          <w:tcPr>
            <w:tcW w:w="247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restart"/>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w:t>
            </w:r>
          </w:p>
        </w:tc>
        <w:tc>
          <w:tcPr>
            <w:tcW w:w="850"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东南</w:t>
            </w:r>
          </w:p>
        </w:tc>
        <w:tc>
          <w:tcPr>
            <w:tcW w:w="1505" w:type="dxa"/>
            <w:vMerge w:val="restart"/>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厂外村委道路</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（次要道路）</w:t>
            </w: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厂房四（厂房C）</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zh-TW" w:eastAsia="zh-CN"/>
              </w:rPr>
            </w:pPr>
            <w:r>
              <w:rPr>
                <w:rFonts w:hint="eastAsia" w:ascii="宋体" w:hAnsi="宋体" w:eastAsia="宋体"/>
                <w:color w:val="auto"/>
                <w:kern w:val="2"/>
                <w:sz w:val="21"/>
                <w:szCs w:val="21"/>
                <w:lang w:eastAsia="zh-CN"/>
              </w:rPr>
              <w:t>（单层甲类厂房，耐火等级二级）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46</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w:t>
            </w:r>
          </w:p>
        </w:tc>
        <w:tc>
          <w:tcPr>
            <w:tcW w:w="2475" w:type="dxa"/>
            <w:vAlign w:val="center"/>
          </w:tcPr>
          <w:p>
            <w:pPr>
              <w:keepNext w:val="0"/>
              <w:keepLines w:val="0"/>
              <w:suppressLineNumbers w:val="0"/>
              <w:spacing w:before="0" w:beforeAutospacing="0" w:after="0" w:afterAutospacing="0" w:line="240" w:lineRule="auto"/>
              <w:ind w:left="0" w:leftChars="0" w:right="0" w:rightChars="0"/>
              <w:jc w:val="center"/>
              <w:rPr>
                <w:rFonts w:hint="eastAsia"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en-US" w:eastAsia="zh-CN"/>
              </w:rPr>
            </w:pPr>
          </w:p>
        </w:tc>
        <w:tc>
          <w:tcPr>
            <w:tcW w:w="850"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505" w:type="dxa"/>
            <w:vMerge w:val="continue"/>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p>
        </w:tc>
        <w:tc>
          <w:tcPr>
            <w:tcW w:w="198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eastAsia="zh-CN"/>
              </w:rPr>
            </w:pPr>
            <w:r>
              <w:rPr>
                <w:rFonts w:hint="eastAsia" w:ascii="宋体" w:hAnsi="宋体" w:eastAsia="宋体"/>
                <w:color w:val="auto"/>
                <w:kern w:val="2"/>
                <w:sz w:val="21"/>
                <w:szCs w:val="21"/>
                <w:lang w:eastAsia="zh-CN"/>
              </w:rPr>
              <w:t>库房一(仓库A)</w:t>
            </w:r>
          </w:p>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zh-TW" w:eastAsia="zh-CN"/>
              </w:rPr>
            </w:pPr>
            <w:r>
              <w:rPr>
                <w:rFonts w:hint="eastAsia" w:ascii="宋体" w:hAnsi="宋体" w:eastAsia="宋体"/>
                <w:color w:val="auto"/>
                <w:kern w:val="2"/>
                <w:sz w:val="21"/>
                <w:szCs w:val="21"/>
                <w:lang w:eastAsia="zh-CN"/>
              </w:rPr>
              <w:t>（单层甲类仓库，耐火等级二级）</w:t>
            </w:r>
          </w:p>
        </w:tc>
        <w:tc>
          <w:tcPr>
            <w:tcW w:w="1043" w:type="dxa"/>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84</w:t>
            </w:r>
          </w:p>
        </w:tc>
        <w:tc>
          <w:tcPr>
            <w:tcW w:w="1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olor w:val="auto"/>
                <w:kern w:val="2"/>
                <w:sz w:val="21"/>
                <w:szCs w:val="21"/>
                <w:lang w:val="en-US" w:eastAsia="zh-CN"/>
              </w:rPr>
            </w:pPr>
            <w:r>
              <w:rPr>
                <w:rFonts w:hint="eastAsia" w:ascii="宋体" w:hAnsi="宋体" w:eastAsia="宋体"/>
                <w:color w:val="auto"/>
                <w:kern w:val="2"/>
                <w:sz w:val="21"/>
                <w:szCs w:val="21"/>
                <w:lang w:val="en-US" w:eastAsia="zh-CN"/>
              </w:rPr>
              <w:t>5</w:t>
            </w:r>
          </w:p>
        </w:tc>
        <w:tc>
          <w:tcPr>
            <w:tcW w:w="2475" w:type="dxa"/>
            <w:vAlign w:val="center"/>
          </w:tcPr>
          <w:p>
            <w:pPr>
              <w:keepNext w:val="0"/>
              <w:keepLines w:val="0"/>
              <w:suppressLineNumbers w:val="0"/>
              <w:spacing w:before="0" w:beforeAutospacing="0" w:after="0" w:afterAutospacing="0" w:line="240" w:lineRule="auto"/>
              <w:ind w:left="0" w:leftChars="0" w:right="0" w:rightChars="0"/>
              <w:jc w:val="center"/>
              <w:rPr>
                <w:rFonts w:hint="eastAsia" w:ascii="宋体" w:hAnsi="宋体" w:eastAsia="宋体" w:cs="Microsoft JhengHei Light"/>
                <w:color w:val="auto"/>
                <w:kern w:val="2"/>
                <w:sz w:val="21"/>
                <w:szCs w:val="21"/>
                <w:lang w:val="zh-TW" w:eastAsia="zh-TW" w:bidi="zh-TW"/>
              </w:rPr>
            </w:pPr>
            <w:r>
              <w:rPr>
                <w:rFonts w:hint="eastAsia" w:ascii="宋体" w:hAnsi="宋体" w:eastAsia="宋体"/>
                <w:color w:val="auto"/>
                <w:kern w:val="2"/>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7"/>
            <w:vAlign w:val="center"/>
          </w:tcPr>
          <w:p>
            <w:pPr>
              <w:keepNext w:val="0"/>
              <w:keepLines w:val="0"/>
              <w:suppressLineNumbers w:val="0"/>
              <w:spacing w:before="0" w:beforeAutospacing="0" w:after="0" w:afterAutospacing="0" w:line="360" w:lineRule="exact"/>
              <w:ind w:left="0" w:right="0"/>
              <w:jc w:val="both"/>
              <w:rPr>
                <w:rFonts w:hint="default" w:ascii="宋体" w:hAnsi="宋体" w:eastAsia="宋体"/>
                <w:color w:val="auto"/>
                <w:kern w:val="2"/>
                <w:sz w:val="21"/>
                <w:szCs w:val="21"/>
              </w:rPr>
            </w:pPr>
            <w:r>
              <w:rPr>
                <w:rFonts w:hint="default" w:ascii="宋体" w:hAnsi="宋体" w:eastAsia="宋体"/>
                <w:color w:val="auto"/>
                <w:kern w:val="2"/>
                <w:sz w:val="21"/>
                <w:szCs w:val="21"/>
              </w:rPr>
              <w:t>注：</w:t>
            </w:r>
            <w:r>
              <w:rPr>
                <w:rFonts w:hint="eastAsia" w:ascii="宋体" w:hAnsi="宋体" w:eastAsia="宋体"/>
                <w:color w:val="auto"/>
                <w:kern w:val="2"/>
                <w:sz w:val="21"/>
                <w:szCs w:val="21"/>
                <w:lang w:eastAsia="zh-CN"/>
              </w:rPr>
              <w:t>表中《建规》为</w:t>
            </w:r>
            <w:r>
              <w:rPr>
                <w:rFonts w:hint="default" w:ascii="宋体" w:hAnsi="宋体" w:eastAsia="宋体"/>
                <w:color w:val="auto"/>
                <w:kern w:val="2"/>
                <w:sz w:val="21"/>
                <w:szCs w:val="21"/>
              </w:rPr>
              <w:t>《建筑设计防火规范》(</w:t>
            </w:r>
            <w:r>
              <w:rPr>
                <w:rFonts w:hint="default" w:ascii="宋体" w:hAnsi="宋体" w:eastAsia="宋体"/>
                <w:color w:val="auto"/>
                <w:kern w:val="2"/>
                <w:sz w:val="21"/>
                <w:szCs w:val="21"/>
                <w:lang w:eastAsia="zh-CN"/>
              </w:rPr>
              <w:t>GB50016-2014</w:t>
            </w:r>
            <w:r>
              <w:rPr>
                <w:rFonts w:hint="eastAsia" w:ascii="宋体" w:hAnsi="宋体" w:eastAsia="宋体"/>
                <w:color w:val="auto"/>
                <w:kern w:val="2"/>
                <w:sz w:val="21"/>
                <w:szCs w:val="21"/>
                <w:lang w:eastAsia="zh-CN"/>
              </w:rPr>
              <w:t>，2018年版</w:t>
            </w:r>
            <w:r>
              <w:rPr>
                <w:rFonts w:hint="default" w:ascii="宋体" w:hAnsi="宋体" w:eastAsia="宋体"/>
                <w:color w:val="auto"/>
                <w:kern w:val="2"/>
                <w:sz w:val="21"/>
                <w:szCs w:val="21"/>
              </w:rPr>
              <w:t>)</w:t>
            </w:r>
            <w:r>
              <w:rPr>
                <w:rFonts w:hint="eastAsia" w:ascii="宋体" w:hAnsi="宋体" w:eastAsia="宋体"/>
                <w:color w:val="auto"/>
                <w:kern w:val="2"/>
                <w:sz w:val="21"/>
                <w:szCs w:val="21"/>
                <w:lang w:eastAsia="zh-CN"/>
              </w:rPr>
              <w:t>，</w:t>
            </w:r>
            <w:r>
              <w:rPr>
                <w:rFonts w:hint="default" w:ascii="宋体" w:hAnsi="宋体" w:eastAsia="宋体"/>
                <w:color w:val="auto"/>
                <w:kern w:val="2"/>
                <w:sz w:val="21"/>
                <w:szCs w:val="21"/>
              </w:rPr>
              <w:t>标准值均取自</w:t>
            </w:r>
            <w:r>
              <w:rPr>
                <w:rFonts w:hint="eastAsia" w:ascii="宋体" w:hAnsi="宋体" w:eastAsia="宋体"/>
                <w:color w:val="auto"/>
                <w:kern w:val="2"/>
                <w:sz w:val="21"/>
                <w:szCs w:val="21"/>
                <w:lang w:eastAsia="zh-CN"/>
              </w:rPr>
              <w:t>该规范</w:t>
            </w:r>
            <w:r>
              <w:rPr>
                <w:rFonts w:hint="default" w:ascii="宋体" w:hAnsi="宋体" w:eastAsia="宋体"/>
                <w:color w:val="auto"/>
                <w:kern w:val="2"/>
                <w:sz w:val="21"/>
                <w:szCs w:val="21"/>
              </w:rPr>
              <w:t>。</w:t>
            </w:r>
          </w:p>
          <w:p>
            <w:pPr>
              <w:keepNext w:val="0"/>
              <w:keepLines w:val="0"/>
              <w:suppressLineNumbers w:val="0"/>
              <w:spacing w:before="0" w:beforeAutospacing="0" w:after="0" w:afterAutospacing="0" w:line="360" w:lineRule="exact"/>
              <w:ind w:left="0" w:right="0"/>
              <w:jc w:val="both"/>
              <w:rPr>
                <w:rFonts w:hint="default" w:ascii="宋体" w:hAnsi="宋体" w:eastAsia="宋体"/>
                <w:color w:val="auto"/>
                <w:kern w:val="2"/>
                <w:sz w:val="21"/>
                <w:szCs w:val="21"/>
                <w:lang w:eastAsia="zh-CN"/>
              </w:rPr>
            </w:pPr>
            <w:r>
              <w:rPr>
                <w:rFonts w:hint="default" w:ascii="宋体" w:hAnsi="宋体" w:eastAsia="宋体"/>
                <w:color w:val="auto"/>
                <w:kern w:val="2"/>
                <w:sz w:val="21"/>
                <w:szCs w:val="21"/>
              </w:rPr>
              <w:t>结论：厂区内各建(构)筑物</w:t>
            </w:r>
            <w:r>
              <w:rPr>
                <w:rFonts w:hint="eastAsia" w:ascii="宋体" w:hAnsi="宋体" w:eastAsia="宋体"/>
                <w:color w:val="auto"/>
                <w:kern w:val="2"/>
                <w:sz w:val="21"/>
                <w:szCs w:val="21"/>
                <w:lang w:eastAsia="zh-CN"/>
              </w:rPr>
              <w:t>与周边建（构）筑物</w:t>
            </w:r>
            <w:r>
              <w:rPr>
                <w:rFonts w:hint="default" w:ascii="宋体" w:hAnsi="宋体" w:eastAsia="宋体"/>
                <w:color w:val="auto"/>
                <w:kern w:val="2"/>
                <w:sz w:val="21"/>
                <w:szCs w:val="21"/>
              </w:rPr>
              <w:t>的防火间距满足</w:t>
            </w:r>
            <w:r>
              <w:rPr>
                <w:rFonts w:hint="eastAsia" w:ascii="宋体" w:hAnsi="宋体" w:eastAsia="宋体"/>
                <w:color w:val="auto"/>
                <w:kern w:val="2"/>
                <w:sz w:val="21"/>
                <w:szCs w:val="21"/>
                <w:lang w:eastAsia="zh-CN"/>
              </w:rPr>
              <w:t>《建筑设计防火规范》</w:t>
            </w:r>
            <w:r>
              <w:rPr>
                <w:rFonts w:hint="default" w:ascii="宋体" w:hAnsi="宋体" w:eastAsia="宋体"/>
                <w:color w:val="auto"/>
                <w:kern w:val="2"/>
                <w:sz w:val="21"/>
                <w:szCs w:val="21"/>
              </w:rPr>
              <w:t>(</w:t>
            </w:r>
            <w:r>
              <w:rPr>
                <w:rFonts w:hint="default" w:ascii="宋体" w:hAnsi="宋体" w:eastAsia="宋体"/>
                <w:color w:val="auto"/>
                <w:kern w:val="2"/>
                <w:sz w:val="21"/>
                <w:szCs w:val="21"/>
                <w:lang w:eastAsia="zh-CN"/>
              </w:rPr>
              <w:t>GB50016-2014</w:t>
            </w:r>
            <w:r>
              <w:rPr>
                <w:rFonts w:hint="eastAsia" w:ascii="宋体" w:hAnsi="宋体" w:eastAsia="宋体"/>
                <w:color w:val="auto"/>
                <w:kern w:val="2"/>
                <w:sz w:val="21"/>
                <w:szCs w:val="21"/>
                <w:lang w:eastAsia="zh-CN"/>
              </w:rPr>
              <w:t>，2018年版</w:t>
            </w:r>
            <w:r>
              <w:rPr>
                <w:rFonts w:hint="default" w:ascii="宋体" w:hAnsi="宋体" w:eastAsia="宋体"/>
                <w:color w:val="auto"/>
                <w:kern w:val="2"/>
                <w:sz w:val="21"/>
                <w:szCs w:val="21"/>
              </w:rPr>
              <w:t>)</w:t>
            </w:r>
            <w:r>
              <w:rPr>
                <w:rFonts w:hint="eastAsia" w:ascii="宋体" w:hAnsi="宋体" w:eastAsia="宋体"/>
                <w:color w:val="auto"/>
                <w:kern w:val="2"/>
                <w:sz w:val="21"/>
                <w:szCs w:val="21"/>
                <w:lang w:eastAsia="zh-CN"/>
              </w:rPr>
              <w:t>、《公路安全保护条例》（国务院令第</w:t>
            </w:r>
            <w:r>
              <w:rPr>
                <w:rFonts w:hint="eastAsia" w:ascii="宋体" w:hAnsi="宋体" w:eastAsia="宋体"/>
                <w:color w:val="auto"/>
                <w:kern w:val="2"/>
                <w:sz w:val="21"/>
                <w:szCs w:val="21"/>
                <w:lang w:val="en-US" w:eastAsia="zh-CN"/>
              </w:rPr>
              <w:t>593号</w:t>
            </w:r>
            <w:r>
              <w:rPr>
                <w:rFonts w:hint="eastAsia" w:ascii="宋体" w:hAnsi="宋体" w:eastAsia="宋体"/>
                <w:color w:val="auto"/>
                <w:kern w:val="2"/>
                <w:sz w:val="21"/>
                <w:szCs w:val="21"/>
                <w:lang w:eastAsia="zh-CN"/>
              </w:rPr>
              <w:t>）等</w:t>
            </w:r>
            <w:r>
              <w:rPr>
                <w:rFonts w:hint="default" w:ascii="宋体" w:hAnsi="宋体" w:eastAsia="宋体"/>
                <w:color w:val="auto"/>
                <w:kern w:val="2"/>
                <w:sz w:val="21"/>
                <w:szCs w:val="21"/>
              </w:rPr>
              <w:t>规范要求。</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425" w:firstLineChars="152"/>
        <w:jc w:val="both"/>
        <w:textAlignment w:val="auto"/>
        <w:rPr>
          <w:rFonts w:ascii="宋体" w:hAnsi="宋体" w:eastAsia="宋体"/>
          <w:color w:val="auto"/>
          <w:sz w:val="28"/>
          <w:szCs w:val="28"/>
          <w:lang w:eastAsia="zh-CN"/>
        </w:rPr>
      </w:pPr>
      <w:r>
        <w:rPr>
          <w:rFonts w:hint="eastAsia" w:ascii="宋体" w:hAnsi="宋体" w:eastAsia="宋体"/>
          <w:color w:val="auto"/>
          <w:sz w:val="28"/>
          <w:szCs w:val="28"/>
          <w:lang w:eastAsia="zh-CN"/>
        </w:rPr>
        <w:t>该公司与周边建（构）筑物的安全距离符合</w:t>
      </w:r>
      <w:r>
        <w:rPr>
          <w:rFonts w:ascii="宋体" w:hAnsi="宋体" w:eastAsia="宋体"/>
          <w:color w:val="auto"/>
          <w:sz w:val="28"/>
          <w:szCs w:val="28"/>
          <w:lang w:eastAsia="zh-CN"/>
        </w:rPr>
        <w:t>《建筑设计防火规范</w:t>
      </w:r>
      <w:r>
        <w:rPr>
          <w:rFonts w:hint="eastAsia" w:ascii="宋体" w:hAnsi="宋体" w:eastAsia="宋体"/>
          <w:color w:val="auto"/>
          <w:sz w:val="28"/>
          <w:szCs w:val="28"/>
          <w:lang w:eastAsia="zh-CN"/>
        </w:rPr>
        <w:t>（2018年版）</w:t>
      </w:r>
      <w:r>
        <w:rPr>
          <w:rFonts w:ascii="宋体" w:hAnsi="宋体" w:eastAsia="宋体"/>
          <w:color w:val="auto"/>
          <w:sz w:val="28"/>
          <w:szCs w:val="28"/>
          <w:lang w:eastAsia="zh-CN"/>
        </w:rPr>
        <w:t>》(GB50016-2014)</w:t>
      </w:r>
      <w:r>
        <w:rPr>
          <w:rFonts w:hint="eastAsia" w:ascii="宋体" w:hAnsi="宋体" w:eastAsia="宋体"/>
          <w:color w:val="auto"/>
          <w:sz w:val="28"/>
          <w:szCs w:val="28"/>
          <w:lang w:eastAsia="zh-CN"/>
        </w:rPr>
        <w:t>相关</w:t>
      </w:r>
      <w:r>
        <w:rPr>
          <w:rFonts w:ascii="宋体" w:hAnsi="宋体" w:eastAsia="宋体"/>
          <w:color w:val="auto"/>
          <w:sz w:val="28"/>
          <w:szCs w:val="28"/>
          <w:lang w:eastAsia="zh-CN"/>
        </w:rPr>
        <w:t>规定。</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val="en-US" w:eastAsia="zh-CN"/>
        </w:rPr>
        <w:t>该公司库房一(仓库A)、厂房四（厂房C）100m范围内没有公路，200m内无公路渡口、中型以上公路桥梁、公路隧道，符合《公路安全保护条例》（国务院令第593号）。</w:t>
      </w:r>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2.1.4总平面布置</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该公司整个厂区占地面积19771.5㎡，建筑面积约7004㎡。整个厂区按功能划分为办公区、生产区【厂房四（厂房C）、库房一(仓库A)、厂房三(厂房B))】和生活区。</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厂区大门设置在北面，通向公路。进入厂区的道路将厂区划分为办公区和生产区。</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生产区---生产区位于厂区西面，主要分布有库房一(仓库A)(甲类仓库)、厂房四（厂房C）(甲类车间)、厂房三(厂房B)(丙类车间)、</w:t>
      </w:r>
      <w:r>
        <w:rPr>
          <w:rFonts w:hint="eastAsia" w:ascii="宋体" w:hAnsi="宋体" w:eastAsia="宋体"/>
          <w:color w:val="auto"/>
          <w:sz w:val="28"/>
          <w:szCs w:val="28"/>
          <w:lang w:val="en-US" w:eastAsia="zh-CN"/>
        </w:rPr>
        <w:t>库房二(仓库B)（仓库A)</w:t>
      </w:r>
      <w:r>
        <w:rPr>
          <w:rFonts w:hint="eastAsia" w:ascii="宋体" w:hAnsi="宋体" w:eastAsia="宋体"/>
          <w:color w:val="auto"/>
          <w:sz w:val="28"/>
          <w:szCs w:val="28"/>
          <w:lang w:eastAsia="zh-CN"/>
        </w:rPr>
        <w:t>；事故池位于库房一(仓库A)与北面围墙之间；</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办公区---办公区位于厂区的东面，主要分布有办公楼、实验室、配电房；</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生活区---位于厂区最南面，与生产区、办公区有约6m的高度差，主要布置有宿舍楼一、宿舍楼二、配电/值班房、室外变压器等。</w:t>
      </w:r>
    </w:p>
    <w:p>
      <w:pPr>
        <w:spacing w:line="360" w:lineRule="auto"/>
        <w:ind w:firstLine="425" w:firstLineChars="152"/>
        <w:jc w:val="both"/>
        <w:rPr>
          <w:rFonts w:ascii="宋体" w:hAnsi="宋体" w:eastAsia="宋体"/>
          <w:b/>
          <w:color w:val="auto"/>
          <w:sz w:val="28"/>
          <w:szCs w:val="28"/>
        </w:rPr>
      </w:pPr>
      <w:r>
        <w:rPr>
          <w:rFonts w:ascii="宋体" w:hAnsi="宋体" w:eastAsia="宋体"/>
          <w:color w:val="auto"/>
          <w:sz w:val="28"/>
          <w:szCs w:val="28"/>
          <w:lang w:eastAsia="zh-CN"/>
        </w:rPr>
        <w:t>厂区建、构筑物情况见表2-3；。</w:t>
      </w:r>
    </w:p>
    <w:p>
      <w:pPr>
        <w:spacing w:line="560" w:lineRule="exact"/>
        <w:jc w:val="center"/>
        <w:rPr>
          <w:rFonts w:ascii="宋体" w:hAnsi="宋体" w:eastAsia="宋体"/>
          <w:b/>
          <w:color w:val="auto"/>
        </w:rPr>
      </w:pPr>
      <w:r>
        <w:rPr>
          <w:rFonts w:ascii="宋体" w:hAnsi="宋体" w:eastAsia="宋体"/>
          <w:b/>
          <w:color w:val="auto"/>
        </w:rPr>
        <w:t>表2-3厂区建(构)筑物情况表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095"/>
        <w:gridCol w:w="726"/>
        <w:gridCol w:w="919"/>
        <w:gridCol w:w="862"/>
        <w:gridCol w:w="1303"/>
        <w:gridCol w:w="884"/>
        <w:gridCol w:w="715"/>
        <w:gridCol w:w="701"/>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spacing w:val="-20"/>
                <w:kern w:val="2"/>
                <w:sz w:val="21"/>
                <w:szCs w:val="21"/>
              </w:rPr>
            </w:pPr>
            <w:r>
              <w:rPr>
                <w:rFonts w:hint="eastAsia" w:ascii="宋体" w:hAnsi="宋体" w:eastAsia="宋体" w:cs="宋体"/>
                <w:b/>
                <w:color w:val="auto"/>
                <w:spacing w:val="-20"/>
                <w:kern w:val="2"/>
                <w:sz w:val="21"/>
                <w:szCs w:val="21"/>
              </w:rPr>
              <w:t>建筑物名称</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层数</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占地面积(㎡)</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建筑面积(㎡)</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建筑结构</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高度</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耐火等级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火灾类别</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办公楼</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3</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384</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1238</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13.25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民用</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544</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544</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5.95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民用</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pacing w:val="-20"/>
                <w:kern w:val="2"/>
                <w:sz w:val="21"/>
                <w:szCs w:val="21"/>
                <w:lang w:eastAsia="zh-CN"/>
              </w:rPr>
            </w:pPr>
            <w:r>
              <w:rPr>
                <w:rFonts w:hint="eastAsia" w:ascii="宋体" w:hAnsi="宋体" w:eastAsia="宋体" w:cs="宋体"/>
                <w:color w:val="auto"/>
                <w:spacing w:val="-20"/>
                <w:kern w:val="2"/>
                <w:sz w:val="21"/>
                <w:szCs w:val="21"/>
                <w:lang w:eastAsia="zh-CN"/>
              </w:rPr>
              <w:t>厂房三(厂房B)</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576</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576</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5.95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丙类</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厂房一(厂房A、东莞优邦自动化)</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2880</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2880</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7.65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戊类</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外租厂房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厂房二</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1</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1134</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1134</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9.65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丙类</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预留用地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1</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480</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480</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5.95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甲类</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1</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720</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720</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5.95</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甲类</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甲类1、2、5、6项，储量＞10t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8</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宿舍一</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196</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1349</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18.7</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民用</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9</w:t>
            </w:r>
          </w:p>
        </w:tc>
        <w:tc>
          <w:tcPr>
            <w:tcW w:w="1095"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宿舍二</w:t>
            </w:r>
          </w:p>
        </w:tc>
        <w:tc>
          <w:tcPr>
            <w:tcW w:w="7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w:t>
            </w:r>
          </w:p>
        </w:tc>
        <w:tc>
          <w:tcPr>
            <w:tcW w:w="919"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196</w:t>
            </w:r>
          </w:p>
        </w:tc>
        <w:tc>
          <w:tcPr>
            <w:tcW w:w="862"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1349</w:t>
            </w:r>
          </w:p>
        </w:tc>
        <w:tc>
          <w:tcPr>
            <w:tcW w:w="130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钢筋混凝土</w:t>
            </w:r>
          </w:p>
        </w:tc>
        <w:tc>
          <w:tcPr>
            <w:tcW w:w="88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18.7</w:t>
            </w:r>
          </w:p>
        </w:tc>
        <w:tc>
          <w:tcPr>
            <w:tcW w:w="71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二级</w:t>
            </w:r>
          </w:p>
        </w:tc>
        <w:tc>
          <w:tcPr>
            <w:tcW w:w="7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民用</w:t>
            </w:r>
          </w:p>
        </w:tc>
        <w:tc>
          <w:tcPr>
            <w:tcW w:w="139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r>
    </w:tbl>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1)库房一(仓库A)</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库房一(仓库A)位于厂区西北角，单层建筑，建筑高度为</w:t>
      </w:r>
      <w:r>
        <w:rPr>
          <w:rFonts w:hint="eastAsia" w:ascii="宋体" w:hAnsi="宋体" w:eastAsia="宋体"/>
          <w:color w:val="auto"/>
          <w:sz w:val="28"/>
          <w:szCs w:val="28"/>
          <w:lang w:val="en-US" w:eastAsia="zh-CN"/>
        </w:rPr>
        <w:t>5.95</w:t>
      </w:r>
      <w:r>
        <w:rPr>
          <w:rFonts w:hint="eastAsia" w:ascii="宋体" w:hAnsi="宋体" w:eastAsia="宋体"/>
          <w:color w:val="auto"/>
          <w:sz w:val="28"/>
          <w:szCs w:val="28"/>
          <w:lang w:eastAsia="zh-CN"/>
        </w:rPr>
        <w:t>m,占地面积为720㎡，钢筋混凝土框架结构，砖墙，耐火等级为二级，甲类火灾危险性，分为5个防火分区，乙醇和硫酸分别储存在单独的防火专区内。</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库房一(仓库A)内电气设备均采用防爆型，电线套钢管保护，距离地面高度约30cm处设置可燃气体报警装置。仓库室内靠近门口设置有收容井，盖有盖板，地面向收容井倾斜，收容井的容积大于仓库内最大包装物的容积。</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2)厂房四（厂房C）</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厂房四（厂房C）位于库房一(仓库A)南面，单层建筑，建筑高度为</w:t>
      </w:r>
      <w:r>
        <w:rPr>
          <w:rFonts w:hint="eastAsia" w:ascii="宋体" w:hAnsi="宋体" w:eastAsia="宋体"/>
          <w:color w:val="auto"/>
          <w:sz w:val="28"/>
          <w:szCs w:val="28"/>
          <w:lang w:val="en-US" w:eastAsia="zh-CN"/>
        </w:rPr>
        <w:t>5.95</w:t>
      </w:r>
      <w:r>
        <w:rPr>
          <w:rFonts w:hint="eastAsia" w:ascii="宋体" w:hAnsi="宋体" w:eastAsia="宋体"/>
          <w:color w:val="auto"/>
          <w:sz w:val="28"/>
          <w:szCs w:val="28"/>
          <w:lang w:eastAsia="zh-CN"/>
        </w:rPr>
        <w:t>m,占地面积、建筑面积均为432㎡，钢筋混凝土框架结构，砖墙，耐火等级为二级，甲类火灾危险性。厂房四（厂房C）分隔为发料区、助焊剂生产车间、水剂生产车间。</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生产车间内电气设备均采用防爆型(防爆等级ExdⅡBT4及以上)，电线套钢管保护，设备线路套防爆软胶套管，助焊剂生产车间内距离地面高度30cm处设置可燃气体报警装置，设置灭火器及消防箱，设备确定了责任人，安全操作规程上墙，生产设备采取静电接地，移动搅拌桶搅拌时采用静电接地夹导除静电，生产车间内采取的安全措施能满足安全生产要求。</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3)厂房三(厂房B)</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厂房三(厂房B)位于厂房四（厂房C）东面，单层建筑，建筑高度为</w:t>
      </w:r>
      <w:r>
        <w:rPr>
          <w:rFonts w:hint="eastAsia" w:ascii="宋体" w:hAnsi="宋体" w:eastAsia="宋体"/>
          <w:color w:val="auto"/>
          <w:sz w:val="28"/>
          <w:szCs w:val="28"/>
          <w:lang w:val="en-US" w:eastAsia="zh-CN"/>
        </w:rPr>
        <w:t>5.95</w:t>
      </w:r>
      <w:r>
        <w:rPr>
          <w:rFonts w:hint="eastAsia" w:ascii="宋体" w:hAnsi="宋体" w:eastAsia="宋体"/>
          <w:color w:val="auto"/>
          <w:sz w:val="28"/>
          <w:szCs w:val="28"/>
          <w:lang w:eastAsia="zh-CN"/>
        </w:rPr>
        <w:t>m,占地面积、建筑面积均为576㎡，钢筋混凝土框架结构，砖墙，耐火等级为二级，丙类火灾危险性。</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4)配电房</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配电房位于厂房三(厂房B)东面，单层建筑，建筑高度为</w:t>
      </w:r>
      <w:r>
        <w:rPr>
          <w:rFonts w:hint="eastAsia" w:ascii="宋体" w:hAnsi="宋体" w:eastAsia="宋体"/>
          <w:color w:val="auto"/>
          <w:sz w:val="28"/>
          <w:szCs w:val="28"/>
          <w:lang w:val="en-US" w:eastAsia="zh-CN"/>
        </w:rPr>
        <w:t>5.95</w:t>
      </w:r>
      <w:r>
        <w:rPr>
          <w:rFonts w:hint="eastAsia" w:ascii="宋体" w:hAnsi="宋体" w:eastAsia="宋体"/>
          <w:color w:val="auto"/>
          <w:sz w:val="28"/>
          <w:szCs w:val="28"/>
          <w:lang w:eastAsia="zh-CN"/>
        </w:rPr>
        <w:t>m，占地面积、建筑面积均为20㎡，钢筋混凝土框架结构，砖墙，耐火等级为二级，丙类火灾危险性。</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5)实验室</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实验室位于办公楼东侧，单层建筑，建筑高度为</w:t>
      </w:r>
      <w:r>
        <w:rPr>
          <w:rFonts w:hint="eastAsia" w:ascii="宋体" w:hAnsi="宋体" w:eastAsia="宋体"/>
          <w:color w:val="auto"/>
          <w:sz w:val="28"/>
          <w:szCs w:val="28"/>
          <w:lang w:val="en-US" w:eastAsia="zh-CN"/>
        </w:rPr>
        <w:t>5.95</w:t>
      </w:r>
      <w:r>
        <w:rPr>
          <w:rFonts w:hint="eastAsia" w:ascii="宋体" w:hAnsi="宋体" w:eastAsia="宋体"/>
          <w:color w:val="auto"/>
          <w:sz w:val="28"/>
          <w:szCs w:val="28"/>
          <w:lang w:eastAsia="zh-CN"/>
        </w:rPr>
        <w:t>m，占地面积为</w:t>
      </w:r>
      <w:r>
        <w:rPr>
          <w:rFonts w:hint="eastAsia" w:ascii="宋体" w:hAnsi="宋体" w:eastAsia="宋体"/>
          <w:color w:val="auto"/>
          <w:sz w:val="28"/>
          <w:szCs w:val="28"/>
          <w:lang w:val="en-US" w:eastAsia="zh-CN"/>
        </w:rPr>
        <w:t>544</w:t>
      </w:r>
      <w:r>
        <w:rPr>
          <w:rFonts w:hint="eastAsia" w:ascii="宋体" w:hAnsi="宋体" w:eastAsia="宋体"/>
          <w:color w:val="auto"/>
          <w:sz w:val="28"/>
          <w:szCs w:val="28"/>
          <w:lang w:eastAsia="zh-CN"/>
        </w:rPr>
        <w:t>㎡，钢筋混凝土框架结构，砖墙，耐火等级为二级，属民用建筑。</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6)办公楼</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办公楼位于实验室北面，3层建筑，占地面积384㎡，建筑面积均为1238㎡，钢筋混凝土框架结构，砖墙，耐火等级为二级。</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7)宿舍楼</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该公司设有两栋宿舍楼，位于厂房四（厂房C）南面，与厂房四（厂房C）、厂房三(厂房B)等生产场所有高度约6m的挡土墙相隔。该公司宿舍楼均为5层建筑，建筑高度为18.7m，占地面积</w:t>
      </w:r>
      <w:r>
        <w:rPr>
          <w:rFonts w:hint="eastAsia" w:ascii="宋体" w:hAnsi="宋体" w:eastAsia="宋体"/>
          <w:color w:val="auto"/>
          <w:sz w:val="28"/>
          <w:szCs w:val="28"/>
          <w:lang w:val="en-US" w:eastAsia="zh-CN"/>
        </w:rPr>
        <w:t>196</w:t>
      </w:r>
      <w:r>
        <w:rPr>
          <w:rFonts w:hint="eastAsia" w:ascii="宋体" w:hAnsi="宋体" w:eastAsia="宋体"/>
          <w:color w:val="auto"/>
          <w:sz w:val="28"/>
          <w:szCs w:val="28"/>
          <w:lang w:eastAsia="zh-CN"/>
        </w:rPr>
        <w:t>㎡，建筑面积均为</w:t>
      </w:r>
      <w:r>
        <w:rPr>
          <w:rFonts w:hint="eastAsia" w:ascii="宋体" w:hAnsi="宋体" w:eastAsia="宋体"/>
          <w:color w:val="auto"/>
          <w:sz w:val="28"/>
          <w:szCs w:val="28"/>
          <w:lang w:val="en-US" w:eastAsia="zh-CN"/>
        </w:rPr>
        <w:t>1349</w:t>
      </w:r>
      <w:r>
        <w:rPr>
          <w:rFonts w:hint="eastAsia" w:ascii="宋体" w:hAnsi="宋体" w:eastAsia="宋体"/>
          <w:color w:val="auto"/>
          <w:sz w:val="28"/>
          <w:szCs w:val="28"/>
          <w:lang w:eastAsia="zh-CN"/>
        </w:rPr>
        <w:t>㎡，钢筋混凝土框架结构，砖墙，耐火等级为二级。</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8)消防泵房、消防水池</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消防泵房、消防水池设在宿舍楼地下，容积为200m³。消防泵房面积约12㎡，砖墙、混凝土屋顶，耐火等级二级，内设2台消防水泵和2台泡沫泵，分别为一用一备。</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9)事故应急池</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事故应急池位于库房一(仓库A)与北面围墙之间，为地下式设置，设置盖板。事故应急池的容积为200m³。</w:t>
      </w:r>
    </w:p>
    <w:p>
      <w:pPr>
        <w:spacing w:line="360" w:lineRule="auto"/>
        <w:ind w:firstLine="425" w:firstLineChars="152"/>
        <w:jc w:val="both"/>
        <w:rPr>
          <w:rFonts w:ascii="宋体" w:hAnsi="宋体" w:eastAsia="宋体"/>
          <w:b/>
          <w:color w:val="auto"/>
        </w:rPr>
      </w:pPr>
      <w:r>
        <w:rPr>
          <w:rFonts w:hint="eastAsia" w:ascii="宋体" w:hAnsi="宋体" w:eastAsia="宋体"/>
          <w:color w:val="auto"/>
          <w:sz w:val="28"/>
          <w:szCs w:val="28"/>
          <w:lang w:eastAsia="zh-CN"/>
        </w:rPr>
        <w:t>厂内主要建(构)筑物防火间距见表2-</w:t>
      </w:r>
      <w:r>
        <w:rPr>
          <w:rFonts w:hint="eastAsia" w:ascii="宋体" w:hAnsi="宋体" w:eastAsia="宋体"/>
          <w:color w:val="auto"/>
          <w:sz w:val="28"/>
          <w:szCs w:val="28"/>
          <w:lang w:val="en-US" w:eastAsia="zh-CN"/>
        </w:rPr>
        <w:t>4。</w:t>
      </w:r>
    </w:p>
    <w:p>
      <w:pPr>
        <w:spacing w:line="560" w:lineRule="exact"/>
        <w:jc w:val="center"/>
        <w:rPr>
          <w:rFonts w:ascii="宋体" w:hAnsi="宋体" w:eastAsia="宋体"/>
          <w:b/>
          <w:color w:val="auto"/>
        </w:rPr>
      </w:pPr>
      <w:r>
        <w:rPr>
          <w:rFonts w:ascii="宋体" w:hAnsi="宋体" w:eastAsia="宋体"/>
          <w:b/>
          <w:color w:val="auto"/>
        </w:rPr>
        <w:t>表2-4厂内各建(构)筑物间距一览表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722"/>
        <w:gridCol w:w="1411"/>
        <w:gridCol w:w="1134"/>
        <w:gridCol w:w="992"/>
        <w:gridCol w:w="851"/>
        <w:gridCol w:w="709"/>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建筑物名称</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火灾类别</w:t>
            </w:r>
          </w:p>
        </w:tc>
        <w:tc>
          <w:tcPr>
            <w:tcW w:w="1411"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相邻建筑物名称</w:t>
            </w:r>
          </w:p>
        </w:tc>
        <w:tc>
          <w:tcPr>
            <w:tcW w:w="1134"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火灾类别</w:t>
            </w:r>
          </w:p>
        </w:tc>
        <w:tc>
          <w:tcPr>
            <w:tcW w:w="1843" w:type="dxa"/>
            <w:gridSpan w:val="2"/>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防火间距(m)</w:t>
            </w:r>
          </w:p>
        </w:tc>
        <w:tc>
          <w:tcPr>
            <w:tcW w:w="70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是否达标</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标准名称及条文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1411"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1134"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实际</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标准</w:t>
            </w:r>
          </w:p>
        </w:tc>
        <w:tc>
          <w:tcPr>
            <w:tcW w:w="70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w:t>
            </w: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甲</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《建设设计防火规范》GB50016-2014第3.5.1条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51</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配电房</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丙类厂房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51</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厂房三(厂房B)</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丙</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19</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宿舍</w:t>
            </w:r>
          </w:p>
        </w:tc>
        <w:tc>
          <w:tcPr>
            <w:tcW w:w="1134"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59</w:t>
            </w: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bidi="zh-TW"/>
              </w:rPr>
              <w:t>30</w:t>
            </w:r>
          </w:p>
        </w:tc>
        <w:tc>
          <w:tcPr>
            <w:tcW w:w="709"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w:t>
            </w: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厂房三(厂房B)</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丙</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12</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12</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lang w:eastAsia="zh-CN"/>
              </w:rPr>
              <w:t>符合</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《建设设计防火规范》GB50016-2014第3.4.1条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宿舍</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26</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实验室</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51</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厂房三(厂房B)</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丙</w:t>
            </w: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配电房</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丙</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《建设设计防火规范》GB50016-2014第3.4.1条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16</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宿舍</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18</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425" w:firstLineChars="152"/>
        <w:jc w:val="both"/>
        <w:textAlignment w:val="auto"/>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从表2-</w:t>
      </w:r>
      <w:r>
        <w:rPr>
          <w:rFonts w:hint="eastAsia" w:ascii="宋体" w:hAnsi="宋体" w:eastAsia="宋体"/>
          <w:color w:val="auto"/>
          <w:sz w:val="28"/>
          <w:szCs w:val="28"/>
          <w:lang w:val="en-US" w:eastAsia="zh-CN"/>
        </w:rPr>
        <w:t>4</w:t>
      </w:r>
      <w:r>
        <w:rPr>
          <w:rFonts w:hint="eastAsia" w:ascii="宋体" w:hAnsi="宋体" w:eastAsia="宋体"/>
          <w:color w:val="auto"/>
          <w:sz w:val="28"/>
          <w:szCs w:val="28"/>
          <w:lang w:eastAsia="zh-CN"/>
        </w:rPr>
        <w:t>可知，该公司厂内主要建(构)筑物防火间距符合规范要求。</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9" w:name="_Toc5841"/>
      <w:bookmarkStart w:id="20" w:name="bookmark16"/>
      <w:r>
        <w:rPr>
          <w:rFonts w:ascii="楷体_GB2312" w:hAnsi="Times New Roman" w:eastAsia="楷体_GB2312" w:cs="Times New Roman"/>
          <w:b/>
          <w:bCs w:val="0"/>
          <w:color w:val="auto"/>
          <w:kern w:val="2"/>
          <w:sz w:val="32"/>
          <w:lang w:val="en-US" w:eastAsia="zh-CN" w:bidi="ar-SA"/>
        </w:rPr>
        <w:t>2.2危险化学品生产工艺装置、储存设施等基本情况</w:t>
      </w:r>
      <w:bookmarkEnd w:id="19"/>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2.2.1主要原、辅料和产品</w:t>
      </w:r>
      <w:bookmarkEnd w:id="20"/>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对照《危险化学品目录(2015版)》(安全监管总局、工业和信息化部、公安部等公告2015年第5号)辨识，该公司属于危险化学品生产项目，主要产品、半成品和原料情况见下表所示。</w:t>
      </w:r>
    </w:p>
    <w:p>
      <w:pPr>
        <w:spacing w:line="560" w:lineRule="exact"/>
        <w:jc w:val="center"/>
        <w:rPr>
          <w:rFonts w:ascii="宋体" w:hAnsi="宋体" w:eastAsia="宋体"/>
          <w:b/>
          <w:color w:val="auto"/>
        </w:rPr>
      </w:pPr>
      <w:r>
        <w:rPr>
          <w:rFonts w:ascii="宋体" w:hAnsi="宋体" w:eastAsia="宋体"/>
          <w:b/>
          <w:color w:val="auto"/>
        </w:rPr>
        <w:t>表2-5主要产品及生产规模表</w:t>
      </w:r>
    </w:p>
    <w:tbl>
      <w:tblPr>
        <w:tblStyle w:val="46"/>
        <w:tblW w:w="9198" w:type="dxa"/>
        <w:jc w:val="center"/>
        <w:tblLayout w:type="fixed"/>
        <w:tblCellMar>
          <w:top w:w="0" w:type="dxa"/>
          <w:left w:w="10" w:type="dxa"/>
          <w:bottom w:w="0" w:type="dxa"/>
          <w:right w:w="10" w:type="dxa"/>
        </w:tblCellMar>
      </w:tblPr>
      <w:tblGrid>
        <w:gridCol w:w="444"/>
        <w:gridCol w:w="2113"/>
        <w:gridCol w:w="1139"/>
        <w:gridCol w:w="41"/>
        <w:gridCol w:w="951"/>
        <w:gridCol w:w="775"/>
        <w:gridCol w:w="1148"/>
        <w:gridCol w:w="1099"/>
        <w:gridCol w:w="1488"/>
      </w:tblGrid>
      <w:tr>
        <w:tblPrEx>
          <w:tblCellMar>
            <w:top w:w="0" w:type="dxa"/>
            <w:left w:w="10" w:type="dxa"/>
            <w:bottom w:w="0" w:type="dxa"/>
            <w:right w:w="10" w:type="dxa"/>
          </w:tblCellMar>
        </w:tblPrEx>
        <w:trPr>
          <w:trHeight w:val="510" w:hRule="atLeast"/>
          <w:tblHeader/>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产品名称</w:t>
            </w:r>
          </w:p>
        </w:tc>
        <w:tc>
          <w:tcPr>
            <w:tcW w:w="1180"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危险化学品目录序号</w:t>
            </w:r>
          </w:p>
        </w:tc>
        <w:tc>
          <w:tcPr>
            <w:tcW w:w="951"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CAS</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火灾危</w:t>
            </w:r>
          </w:p>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险性</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rPr>
              <w:t>年生产能力</w:t>
            </w:r>
            <w:r>
              <w:rPr>
                <w:rFonts w:hint="eastAsia" w:ascii="宋体" w:hAnsi="宋体" w:eastAsia="宋体" w:cs="宋体"/>
                <w:b/>
                <w:color w:val="auto"/>
                <w:kern w:val="2"/>
                <w:sz w:val="21"/>
                <w:szCs w:val="21"/>
                <w:lang w:eastAsia="zh-CN"/>
              </w:rPr>
              <w:t>(t)</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最大储存量</w:t>
            </w:r>
            <w:r>
              <w:rPr>
                <w:rFonts w:hint="eastAsia" w:ascii="宋体" w:hAnsi="宋体" w:eastAsia="宋体" w:cs="宋体"/>
                <w:b/>
                <w:color w:val="auto"/>
                <w:kern w:val="2"/>
                <w:sz w:val="21"/>
                <w:szCs w:val="21"/>
                <w:lang w:eastAsia="zh-CN"/>
              </w:rPr>
              <w:t>(t)</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储存场所</w:t>
            </w:r>
          </w:p>
        </w:tc>
      </w:tr>
      <w:tr>
        <w:tblPrEx>
          <w:tblCellMar>
            <w:top w:w="0" w:type="dxa"/>
            <w:left w:w="10" w:type="dxa"/>
            <w:bottom w:w="0" w:type="dxa"/>
            <w:right w:w="10" w:type="dxa"/>
          </w:tblCellMar>
        </w:tblPrEx>
        <w:trPr>
          <w:trHeight w:val="371" w:hRule="atLeast"/>
          <w:jc w:val="center"/>
        </w:trPr>
        <w:tc>
          <w:tcPr>
            <w:tcW w:w="444" w:type="dxa"/>
            <w:tcBorders>
              <w:top w:val="single" w:color="auto" w:sz="4"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1</w:t>
            </w:r>
          </w:p>
        </w:tc>
        <w:tc>
          <w:tcPr>
            <w:tcW w:w="2113" w:type="dxa"/>
            <w:tcBorders>
              <w:top w:val="single" w:color="auto" w:sz="4"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快干助焊剂</w:t>
            </w:r>
          </w:p>
        </w:tc>
        <w:tc>
          <w:tcPr>
            <w:tcW w:w="1139" w:type="dxa"/>
            <w:tcBorders>
              <w:top w:val="single" w:color="auto" w:sz="4"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2828</w:t>
            </w:r>
          </w:p>
        </w:tc>
        <w:tc>
          <w:tcPr>
            <w:tcW w:w="992" w:type="dxa"/>
            <w:gridSpan w:val="2"/>
            <w:tcBorders>
              <w:top w:val="single" w:color="auto" w:sz="4"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p>
        </w:tc>
        <w:tc>
          <w:tcPr>
            <w:tcW w:w="775" w:type="dxa"/>
            <w:tcBorders>
              <w:top w:val="single" w:color="auto" w:sz="4" w:space="0"/>
              <w:left w:val="single" w:color="auto" w:sz="2" w:space="0"/>
              <w:bottom w:val="single" w:color="auto" w:sz="2" w:space="0"/>
              <w:right w:val="single" w:color="auto" w:sz="4"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甲</w:t>
            </w:r>
          </w:p>
        </w:tc>
        <w:tc>
          <w:tcPr>
            <w:tcW w:w="1148" w:type="dxa"/>
            <w:tcBorders>
              <w:top w:val="single" w:color="auto" w:sz="4" w:space="0"/>
              <w:left w:val="single" w:color="auto" w:sz="4"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700</w:t>
            </w:r>
          </w:p>
        </w:tc>
        <w:tc>
          <w:tcPr>
            <w:tcW w:w="1099" w:type="dxa"/>
            <w:tcBorders>
              <w:top w:val="single" w:color="auto" w:sz="4"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30</w:t>
            </w:r>
          </w:p>
        </w:tc>
        <w:tc>
          <w:tcPr>
            <w:tcW w:w="1488" w:type="dxa"/>
            <w:tcBorders>
              <w:top w:val="single" w:color="auto" w:sz="4"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r>
      <w:tr>
        <w:tblPrEx>
          <w:tblCellMar>
            <w:top w:w="0" w:type="dxa"/>
            <w:left w:w="10" w:type="dxa"/>
            <w:bottom w:w="0" w:type="dxa"/>
            <w:right w:w="10" w:type="dxa"/>
          </w:tblCellMar>
        </w:tblPrEx>
        <w:trPr>
          <w:trHeight w:val="510" w:hRule="atLeast"/>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2-丙醇</w:t>
            </w:r>
          </w:p>
        </w:tc>
        <w:tc>
          <w:tcPr>
            <w:tcW w:w="1139"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111</w:t>
            </w:r>
          </w:p>
        </w:tc>
        <w:tc>
          <w:tcPr>
            <w:tcW w:w="992"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bidi="ar"/>
              </w:rPr>
              <w:t>67-63-0</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甲</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180</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r>
      <w:tr>
        <w:tblPrEx>
          <w:tblCellMar>
            <w:top w:w="0" w:type="dxa"/>
            <w:left w:w="10" w:type="dxa"/>
            <w:bottom w:w="0" w:type="dxa"/>
            <w:right w:w="10" w:type="dxa"/>
          </w:tblCellMar>
        </w:tblPrEx>
        <w:trPr>
          <w:trHeight w:val="510" w:hRule="atLeast"/>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清洗剂</w:t>
            </w:r>
          </w:p>
        </w:tc>
        <w:tc>
          <w:tcPr>
            <w:tcW w:w="1139"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2828</w:t>
            </w:r>
          </w:p>
        </w:tc>
        <w:tc>
          <w:tcPr>
            <w:tcW w:w="992"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120</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r>
    </w:tbl>
    <w:p>
      <w:pPr>
        <w:spacing w:line="560" w:lineRule="exact"/>
        <w:jc w:val="center"/>
        <w:rPr>
          <w:rFonts w:ascii="宋体" w:hAnsi="宋体" w:eastAsia="宋体"/>
          <w:b/>
          <w:color w:val="auto"/>
        </w:rPr>
      </w:pPr>
      <w:r>
        <w:rPr>
          <w:rFonts w:ascii="宋体" w:hAnsi="宋体" w:eastAsia="宋体"/>
          <w:b/>
          <w:color w:val="auto"/>
        </w:rPr>
        <w:t>表2-</w:t>
      </w:r>
      <w:r>
        <w:rPr>
          <w:rFonts w:hint="eastAsia" w:ascii="宋体" w:hAnsi="宋体" w:eastAsia="宋体"/>
          <w:b/>
          <w:color w:val="auto"/>
        </w:rPr>
        <w:t>6</w:t>
      </w:r>
      <w:r>
        <w:rPr>
          <w:rFonts w:ascii="宋体" w:hAnsi="宋体" w:eastAsia="宋体"/>
          <w:b/>
          <w:color w:val="auto"/>
        </w:rPr>
        <w:t>主要原材料及其消耗量表</w:t>
      </w:r>
    </w:p>
    <w:tbl>
      <w:tblPr>
        <w:tblStyle w:val="46"/>
        <w:tblW w:w="91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719"/>
        <w:gridCol w:w="2552"/>
        <w:gridCol w:w="762"/>
        <w:gridCol w:w="1501"/>
        <w:gridCol w:w="1107"/>
        <w:gridCol w:w="1166"/>
        <w:gridCol w:w="139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719"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序号</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原材料名称</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lang w:eastAsia="zh-CN"/>
              </w:rPr>
            </w:pPr>
            <w:r>
              <w:rPr>
                <w:rFonts w:hint="eastAsia" w:ascii="宋体" w:hAnsi="宋体" w:eastAsia="宋体"/>
                <w:b/>
                <w:color w:val="auto"/>
                <w:kern w:val="2"/>
                <w:sz w:val="21"/>
                <w:szCs w:val="21"/>
                <w:lang w:eastAsia="zh-CN"/>
              </w:rPr>
              <w:t>火灾危险性</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危险化学品序号</w:t>
            </w:r>
          </w:p>
        </w:tc>
        <w:tc>
          <w:tcPr>
            <w:tcW w:w="110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年用量</w:t>
            </w:r>
            <w:r>
              <w:rPr>
                <w:rFonts w:hint="eastAsia" w:ascii="宋体" w:hAnsi="宋体" w:eastAsia="宋体"/>
                <w:b/>
                <w:color w:val="auto"/>
                <w:kern w:val="2"/>
                <w:sz w:val="21"/>
                <w:szCs w:val="21"/>
                <w:lang w:eastAsia="zh-CN"/>
              </w:rPr>
              <w:t>(t)</w:t>
            </w:r>
          </w:p>
        </w:tc>
        <w:tc>
          <w:tcPr>
            <w:tcW w:w="1166"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储存地点</w:t>
            </w:r>
          </w:p>
        </w:tc>
        <w:tc>
          <w:tcPr>
            <w:tcW w:w="139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最大储存量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1</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环已烷</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甲类</w:t>
            </w:r>
          </w:p>
        </w:tc>
        <w:tc>
          <w:tcPr>
            <w:tcW w:w="1501" w:type="dxa"/>
            <w:tcBorders>
              <w:right w:val="single" w:color="auto" w:sz="4" w:space="0"/>
            </w:tcBorders>
            <w:shd w:val="clear" w:color="auto" w:fill="FFFFFF"/>
            <w:vAlign w:val="center"/>
          </w:tcPr>
          <w:p>
            <w:pPr>
              <w:keepNext w:val="0"/>
              <w:keepLines w:val="0"/>
              <w:suppressLineNumbers w:val="0"/>
              <w:tabs>
                <w:tab w:val="left" w:pos="2505"/>
              </w:tabs>
              <w:snapToGrid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953</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400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2</w:t>
            </w:r>
          </w:p>
        </w:tc>
        <w:tc>
          <w:tcPr>
            <w:tcW w:w="2552" w:type="dxa"/>
            <w:tcBorders>
              <w:right w:val="single" w:color="auto" w:sz="4" w:space="0"/>
            </w:tcBorders>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2-丙醇</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甲类</w:t>
            </w:r>
          </w:p>
        </w:tc>
        <w:tc>
          <w:tcPr>
            <w:tcW w:w="1501" w:type="dxa"/>
            <w:tcBorders>
              <w:right w:val="single" w:color="auto" w:sz="4" w:space="0"/>
            </w:tcBorders>
            <w:shd w:val="clear" w:color="auto" w:fill="FFFFFF"/>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111</w:t>
            </w:r>
          </w:p>
        </w:tc>
        <w:tc>
          <w:tcPr>
            <w:tcW w:w="110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zh-TW" w:eastAsia="zh-TW" w:bidi="zh-TW"/>
              </w:rPr>
            </w:pPr>
            <w:r>
              <w:rPr>
                <w:rFonts w:hint="eastAsia" w:ascii="宋体" w:hAnsi="宋体" w:eastAsia="宋体" w:cs="宋体"/>
                <w:color w:val="auto"/>
                <w:spacing w:val="0"/>
                <w:kern w:val="2"/>
                <w:sz w:val="21"/>
                <w:szCs w:val="21"/>
              </w:rPr>
              <w:t>160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3</w:t>
            </w:r>
          </w:p>
        </w:tc>
        <w:tc>
          <w:tcPr>
            <w:tcW w:w="2552" w:type="dxa"/>
            <w:tcBorders>
              <w:right w:val="single" w:color="auto" w:sz="4" w:space="0"/>
            </w:tcBorders>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乙醇【无水】</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甲类</w:t>
            </w:r>
          </w:p>
        </w:tc>
        <w:tc>
          <w:tcPr>
            <w:tcW w:w="1501" w:type="dxa"/>
            <w:tcBorders>
              <w:right w:val="single" w:color="auto" w:sz="4" w:space="0"/>
            </w:tcBorders>
            <w:shd w:val="clear" w:color="auto" w:fill="FFFFFF"/>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2568</w:t>
            </w:r>
          </w:p>
        </w:tc>
        <w:tc>
          <w:tcPr>
            <w:tcW w:w="110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zh-TW" w:eastAsia="zh-TW" w:bidi="zh-TW"/>
              </w:rPr>
            </w:pPr>
            <w:r>
              <w:rPr>
                <w:rFonts w:hint="eastAsia" w:ascii="宋体" w:hAnsi="宋体" w:eastAsia="宋体" w:cs="宋体"/>
                <w:color w:val="auto"/>
                <w:spacing w:val="0"/>
                <w:kern w:val="2"/>
                <w:sz w:val="21"/>
                <w:szCs w:val="21"/>
              </w:rPr>
              <w:t>200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4</w:t>
            </w:r>
          </w:p>
        </w:tc>
        <w:tc>
          <w:tcPr>
            <w:tcW w:w="2552" w:type="dxa"/>
            <w:tcBorders>
              <w:right w:val="single" w:color="auto" w:sz="4" w:space="0"/>
            </w:tcBorders>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壬基酚聚氧乙烯醚</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丙类</w:t>
            </w:r>
          </w:p>
        </w:tc>
        <w:tc>
          <w:tcPr>
            <w:tcW w:w="1501" w:type="dxa"/>
            <w:tcBorders>
              <w:right w:val="single" w:color="auto" w:sz="4" w:space="0"/>
            </w:tcBorders>
            <w:shd w:val="clear" w:color="auto" w:fill="FFFFFF"/>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1726</w:t>
            </w:r>
          </w:p>
        </w:tc>
        <w:tc>
          <w:tcPr>
            <w:tcW w:w="110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zh-TW" w:eastAsia="zh-TW" w:bidi="zh-TW"/>
              </w:rPr>
            </w:pPr>
            <w:r>
              <w:rPr>
                <w:rFonts w:hint="eastAsia" w:ascii="宋体" w:hAnsi="宋体" w:eastAsia="宋体" w:cs="宋体"/>
                <w:color w:val="auto"/>
                <w:spacing w:val="0"/>
                <w:kern w:val="2"/>
                <w:sz w:val="21"/>
                <w:szCs w:val="21"/>
              </w:rPr>
              <w:t>60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5</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熟松香</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丙类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15</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6</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丁二酸</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丙类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15</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en-US" w:eastAsia="zh-CN"/>
              </w:rPr>
            </w:pPr>
            <w:bookmarkStart w:id="21" w:name="bookmark17"/>
            <w:r>
              <w:rPr>
                <w:rFonts w:hint="eastAsia" w:ascii="宋体" w:hAnsi="宋体" w:eastAsia="宋体" w:cs="宋体"/>
                <w:snapToGrid w:val="0"/>
                <w:color w:val="auto"/>
                <w:kern w:val="2"/>
                <w:sz w:val="21"/>
                <w:szCs w:val="21"/>
                <w:lang w:val="en-US" w:eastAsia="zh-CN"/>
              </w:rPr>
              <w:t>7</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硫酸</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1302</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200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en-US" w:eastAsia="zh-CN"/>
              </w:rPr>
            </w:pPr>
            <w:r>
              <w:rPr>
                <w:rFonts w:hint="eastAsia" w:ascii="宋体" w:hAnsi="宋体" w:eastAsia="宋体" w:cs="宋体"/>
                <w:snapToGrid w:val="0"/>
                <w:color w:val="auto"/>
                <w:kern w:val="2"/>
                <w:sz w:val="21"/>
                <w:szCs w:val="21"/>
                <w:lang w:val="en-US" w:eastAsia="zh-CN"/>
              </w:rPr>
              <w:t>8</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磷酸</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2790</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8</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en-US" w:eastAsia="zh-CN"/>
              </w:rPr>
            </w:pPr>
            <w:r>
              <w:rPr>
                <w:rFonts w:hint="eastAsia" w:ascii="宋体" w:hAnsi="宋体" w:eastAsia="宋体" w:cs="宋体"/>
                <w:snapToGrid w:val="0"/>
                <w:color w:val="auto"/>
                <w:kern w:val="2"/>
                <w:sz w:val="21"/>
                <w:szCs w:val="21"/>
                <w:lang w:val="en-US" w:eastAsia="zh-CN"/>
              </w:rPr>
              <w:t>9</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氢氧化钠</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1669</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default" w:ascii="宋体" w:hAnsi="宋体" w:eastAsia="宋体" w:cs="宋体"/>
                <w:snapToGrid w:val="0"/>
                <w:color w:val="auto"/>
                <w:kern w:val="2"/>
                <w:sz w:val="21"/>
                <w:szCs w:val="21"/>
                <w:lang w:val="en-US" w:eastAsia="zh-CN"/>
              </w:rPr>
            </w:pPr>
            <w:r>
              <w:rPr>
                <w:rFonts w:hint="eastAsia" w:ascii="宋体" w:hAnsi="宋体" w:eastAsia="宋体" w:cs="宋体"/>
                <w:snapToGrid w:val="0"/>
                <w:color w:val="auto"/>
                <w:kern w:val="2"/>
                <w:sz w:val="21"/>
                <w:szCs w:val="21"/>
                <w:lang w:val="en-US" w:eastAsia="zh-CN"/>
              </w:rPr>
              <w:t>10</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脂肪醇聚氧乙烯醚</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丙类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60</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default" w:ascii="宋体" w:hAnsi="宋体" w:eastAsia="宋体" w:cs="宋体"/>
                <w:snapToGrid w:val="0"/>
                <w:color w:val="auto"/>
                <w:kern w:val="2"/>
                <w:sz w:val="21"/>
                <w:szCs w:val="21"/>
                <w:lang w:val="en-US" w:eastAsia="zh-CN"/>
              </w:rPr>
            </w:pPr>
            <w:r>
              <w:rPr>
                <w:rFonts w:hint="eastAsia" w:ascii="宋体" w:hAnsi="宋体" w:eastAsia="宋体" w:cs="宋体"/>
                <w:snapToGrid w:val="0"/>
                <w:color w:val="auto"/>
                <w:kern w:val="2"/>
                <w:sz w:val="21"/>
                <w:szCs w:val="21"/>
                <w:lang w:val="en-US" w:eastAsia="zh-CN"/>
              </w:rPr>
              <w:t>11</w:t>
            </w:r>
          </w:p>
        </w:tc>
        <w:tc>
          <w:tcPr>
            <w:tcW w:w="2552" w:type="dxa"/>
            <w:tcBorders>
              <w:right w:val="single" w:color="auto" w:sz="4" w:space="0"/>
            </w:tcBorders>
            <w:shd w:val="clear" w:color="auto" w:fill="FFFFFF"/>
            <w:vAlign w:val="center"/>
          </w:tcPr>
          <w:p>
            <w:pPr>
              <w:keepNext w:val="0"/>
              <w:keepLines w:val="0"/>
              <w:suppressLineNumbers w:val="0"/>
              <w:spacing w:before="0" w:beforeAutospacing="0" w:after="0" w:afterAutospacing="0" w:line="320" w:lineRule="exact"/>
              <w:ind w:left="0" w:leftChars="0" w:right="0" w:rightChars="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二乙二醇二丁醚</w:t>
            </w:r>
          </w:p>
        </w:tc>
        <w:tc>
          <w:tcPr>
            <w:tcW w:w="762" w:type="dxa"/>
            <w:tcBorders>
              <w:lef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丙类</w:t>
            </w:r>
          </w:p>
        </w:tc>
        <w:tc>
          <w:tcPr>
            <w:tcW w:w="1501" w:type="dxa"/>
            <w:tcBorders>
              <w:right w:val="single" w:color="auto" w:sz="4" w:space="0"/>
            </w:tcBorders>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110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55</w:t>
            </w:r>
          </w:p>
        </w:tc>
        <w:tc>
          <w:tcPr>
            <w:tcW w:w="1166"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391" w:type="dxa"/>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jc w:val="both"/>
        <w:textAlignment w:val="auto"/>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2.2.2生产工艺过程</w:t>
      </w:r>
      <w:bookmarkEnd w:id="21"/>
    </w:p>
    <w:p>
      <w:pPr>
        <w:spacing w:line="360" w:lineRule="auto"/>
        <w:ind w:firstLine="560" w:firstLineChars="200"/>
        <w:jc w:val="both"/>
        <w:rPr>
          <w:rFonts w:hint="eastAsia" w:ascii="宋体" w:hAnsi="宋体" w:eastAsia="宋体" w:cs="宋体"/>
          <w:color w:val="auto"/>
          <w:sz w:val="28"/>
          <w:szCs w:val="28"/>
        </w:rPr>
      </w:pPr>
      <w:bookmarkStart w:id="22" w:name="bookmark18"/>
      <w:r>
        <w:rPr>
          <w:rFonts w:hint="eastAsia" w:ascii="宋体" w:hAnsi="宋体" w:eastAsia="宋体" w:cs="宋体"/>
          <w:color w:val="auto"/>
          <w:sz w:val="28"/>
          <w:szCs w:val="28"/>
        </w:rPr>
        <w:t>该公司根据产品类别，生产工艺分为快干助焊剂、2-丙醇或清洗剂、和水基清洗剂四种生产工艺，其中助焊剂、2-丙醇和清洗剂在</w:t>
      </w:r>
      <w:r>
        <w:rPr>
          <w:rFonts w:hint="eastAsia" w:ascii="宋体" w:hAnsi="宋体" w:eastAsia="宋体" w:cs="宋体"/>
          <w:color w:val="auto"/>
          <w:sz w:val="28"/>
          <w:szCs w:val="28"/>
          <w:lang w:eastAsia="zh-CN"/>
        </w:rPr>
        <w:t>厂房一(厂房A、东莞优邦自动化)</w:t>
      </w:r>
      <w:r>
        <w:rPr>
          <w:rFonts w:hint="eastAsia" w:ascii="宋体" w:hAnsi="宋体" w:eastAsia="宋体" w:cs="宋体"/>
          <w:color w:val="auto"/>
          <w:sz w:val="28"/>
          <w:szCs w:val="28"/>
        </w:rPr>
        <w:t>进行生产，水基清洗剂在</w:t>
      </w:r>
      <w:r>
        <w:rPr>
          <w:rFonts w:hint="eastAsia" w:ascii="宋体" w:hAnsi="宋体" w:eastAsia="宋体" w:cs="宋体"/>
          <w:color w:val="auto"/>
          <w:sz w:val="28"/>
          <w:szCs w:val="28"/>
          <w:lang w:eastAsia="zh-CN"/>
        </w:rPr>
        <w:t>厂房三(厂房B)</w:t>
      </w:r>
      <w:r>
        <w:rPr>
          <w:rFonts w:hint="eastAsia" w:ascii="宋体" w:hAnsi="宋体" w:eastAsia="宋体" w:cs="宋体"/>
          <w:color w:val="auto"/>
          <w:sz w:val="28"/>
          <w:szCs w:val="28"/>
        </w:rPr>
        <w:t>(丙类)生产。具体如下。</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1)快干助焊剂生产工艺</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(1)称重配料：将经过计量的原料(2-丙醇、无水乙醇和熟松香)按顺序投入到搅拌釜中；</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(2)搅拌溶解：将投入到搅拌釜中的原料在常温、常压下均匀搅拌，搅拌至松香完全溶解于无水乙醇即为助焊剂成品；</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(3)灌装包装：将成品通过不锈钢滤网器过滤，经检验合格后按规格进行灌桶分装，经包装后为助焊剂产品。</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工艺流程简图如下：</w:t>
      </w:r>
    </w:p>
    <w:p>
      <w:pPr>
        <w:tabs>
          <w:tab w:val="left" w:pos="7950"/>
        </w:tabs>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object>
          <v:shape id="_x0000_i1025" o:spt="75" type="#_x0000_t75" style="height:41.45pt;width:458.9pt;" o:ole="t" filled="f" o:preferrelative="t" stroked="f" coordsize="21600,21600">
            <v:path/>
            <v:fill on="f" focussize="0,0"/>
            <v:stroke on="f"/>
            <v:imagedata r:id="rId10" o:title=""/>
            <o:lock v:ext="edit" aspectratio="t"/>
            <w10:wrap type="none"/>
            <w10:anchorlock/>
          </v:shape>
          <o:OLEObject Type="Embed" ProgID="Visio.Drawing.11" ShapeID="_x0000_i1025" DrawAspect="Content" ObjectID="_1468075725" r:id="rId9">
            <o:LockedField>false</o:LockedField>
          </o:OLEObject>
        </w:object>
      </w:r>
    </w:p>
    <w:p>
      <w:pPr>
        <w:spacing w:line="36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图2-1助焊剂生产工艺流程图</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2)2-丙醇、清洗剂的生产工艺</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2-丙醇和清洗剂的生产过程相同，是一个混合搅拌的物理过程，间歇式生产。</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(1)称重配料：将经过计量的原料(壬基酚聚氧乙烯醚等)与2-丙醇或正己烷按顺序投入到搅拌釜中；</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(2)搅拌溶解：将投入到搅拌釜中的原料在常温、常压下均匀搅拌，搅拌至溶液充分混合清澈即为稀释剂或清洗剂；</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(3)灌装包装：成品经检验合格后按规格进行灌桶分装，经包装后为稀释剂或清洗剂产品。</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工艺流程简图如下：</w:t>
      </w:r>
    </w:p>
    <w:p>
      <w:pPr>
        <w:tabs>
          <w:tab w:val="left" w:pos="7950"/>
        </w:tabs>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object>
          <v:shape id="_x0000_i1026" o:spt="75" type="#_x0000_t75" style="height:39.5pt;width:458.8pt;" o:ole="t" filled="f" o:preferrelative="t" stroked="f" coordsize="21600,21600">
            <v:path/>
            <v:fill on="f" focussize="0,0"/>
            <v:stroke on="f"/>
            <v:imagedata r:id="rId12" o:title=""/>
            <o:lock v:ext="edit" aspectratio="t"/>
            <w10:wrap type="none"/>
            <w10:anchorlock/>
          </v:shape>
          <o:OLEObject Type="Embed" ProgID="Visio.Drawing.11" ShapeID="_x0000_i1026" DrawAspect="Content" ObjectID="_1468075726" r:id="rId11">
            <o:LockedField>false</o:LockedField>
          </o:OLEObject>
        </w:object>
      </w:r>
    </w:p>
    <w:p>
      <w:pPr>
        <w:spacing w:line="36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图2-2清洗剂、2-丙醇生产工艺流程图</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3)水基清洗剂生产工艺</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水基清洗剂的生产过程是一个混合搅拌的物理过程，间歇式生产。</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(1)称重配料：将经过计量的原料磷酸、氢氧化钠等与去离子水按顺序投入到搅拌釜中；</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(2)搅拌溶解：将投入到搅拌釜中的原料在常温、常压下均匀搅拌，搅拌至溶液充分混合清澈；</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(3)灌装包装：成品经检验合格后按规格进行灌桶分装，经包装后为水基清洗剂产品。</w:t>
      </w:r>
    </w:p>
    <w:p>
      <w:pPr>
        <w:spacing w:line="360" w:lineRule="auto"/>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工艺流程简图如下：</w:t>
      </w:r>
    </w:p>
    <w:p>
      <w:pPr>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pict>
          <v:group id="_x0000_s1625" o:spid="_x0000_s1625" o:spt="203" style="height:117pt;width:406.5pt;" coordorigin="1768,11714" coordsize="8130,2340">
            <o:lock v:ext="edit" rotation="t"/>
            <v:shape id="_x0000_s1626" o:spid="_x0000_s1626" o:spt="202" type="#_x0000_t202" style="position:absolute;left:1768;top:11870;height:624;width:90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磷 酸</w:t>
                    </w:r>
                  </w:p>
                </w:txbxContent>
              </v:textbox>
            </v:shape>
            <v:shape id="_x0000_s1627" o:spid="_x0000_s1627" o:spt="202" type="#_x0000_t202" style="position:absolute;left:3388;top:11714;height:1036;width:180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18"/>
                        <w:szCs w:val="18"/>
                      </w:rPr>
                    </w:pPr>
                    <w:r>
                      <w:rPr>
                        <w:rFonts w:hint="eastAsia" w:ascii="宋体" w:hAnsi="宋体" w:eastAsia="宋体" w:cs="宋体"/>
                        <w:sz w:val="18"/>
                        <w:szCs w:val="18"/>
                      </w:rPr>
                      <w:t>脂肪醇聚氧乙烯醚或二乙二醇单丁醚</w:t>
                    </w:r>
                  </w:p>
                </w:txbxContent>
              </v:textbox>
            </v:shape>
            <v:shape id="_x0000_s1628" o:spid="_x0000_s1628" o:spt="202" type="#_x0000_t202" style="position:absolute;left:6088;top:11870;height:624;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ascii="宋体" w:hAnsi="宋体" w:eastAsia="宋体" w:cs="宋体"/>
                        <w:sz w:val="22"/>
                        <w:szCs w:val="22"/>
                      </w:rPr>
                      <w:t>去离子</w:t>
                    </w:r>
                    <w:r>
                      <w:rPr>
                        <w:rFonts w:hint="eastAsia"/>
                        <w:sz w:val="22"/>
                        <w:szCs w:val="22"/>
                      </w:rPr>
                      <w:t>水</w:t>
                    </w:r>
                  </w:p>
                </w:txbxContent>
              </v:textbox>
            </v:shape>
            <v:shape id="_x0000_s1629" o:spid="_x0000_s1629" o:spt="202" type="#_x0000_t202" style="position:absolute;left:8428;top:11870;height:624;width:108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rPr>
                    </w:pPr>
                    <w:r>
                      <w:rPr>
                        <w:rFonts w:hint="eastAsia" w:ascii="宋体" w:hAnsi="宋体" w:eastAsia="宋体" w:cs="宋体"/>
                      </w:rPr>
                      <w:t>硫酸</w:t>
                    </w:r>
                  </w:p>
                </w:txbxContent>
              </v:textbox>
            </v:shape>
            <v:shape id="_x0000_s1630" o:spid="_x0000_s1630" o:spt="202" type="#_x0000_t202" style="position:absolute;left:8428;top:13430;height:624;width:126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检验合格</w:t>
                    </w:r>
                  </w:p>
                </w:txbxContent>
              </v:textbox>
            </v:shape>
            <v:shape id="_x0000_s1631" o:spid="_x0000_s1631" o:spt="202" type="#_x0000_t202" style="position:absolute;left:5908;top:13430;height:624;width:126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称重分装</w:t>
                    </w:r>
                  </w:p>
                </w:txbxContent>
              </v:textbox>
            </v:shape>
            <v:shape id="_x0000_s1632" o:spid="_x0000_s1632" o:spt="202" type="#_x0000_t202" style="position:absolute;left:3928;top:13430;height:566;width:90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入 库</w:t>
                    </w:r>
                  </w:p>
                </w:txbxContent>
              </v:textbox>
            </v:shape>
            <v:line id="_x0000_s1633" o:spid="_x0000_s1633" o:spt="20" style="position:absolute;left:2665;top:12182;height:0;width:720;" filled="f" stroked="t" coordsize="21600,21600">
              <v:path arrowok="t"/>
              <v:fill on="f" focussize="0,0"/>
              <v:stroke weight="1.25pt" endarrow="block"/>
              <v:imagedata o:title=""/>
              <o:lock v:ext="edit"/>
            </v:line>
            <v:line id="_x0000_s1634" o:spid="_x0000_s1634" o:spt="20" style="position:absolute;left:5218;top:12182;height:0;width:833;" filled="f" stroked="t" coordsize="21600,21600">
              <v:path arrowok="t"/>
              <v:fill on="f" focussize="0,0"/>
              <v:stroke weight="1.25pt" endarrow="block"/>
              <v:imagedata o:title=""/>
              <o:lock v:ext="edit"/>
            </v:line>
            <v:line id="_x0000_s1635" o:spid="_x0000_s1635" o:spt="20" style="position:absolute;left:7348;top:12182;height:0;width:1080;" filled="f" stroked="t" coordsize="21600,21600">
              <v:path arrowok="t"/>
              <v:fill on="f" focussize="0,0"/>
              <v:stroke weight="1.25pt" endarrow="block"/>
              <v:imagedata o:title=""/>
              <o:lock v:ext="edit"/>
            </v:line>
            <v:line id="_x0000_s1636" o:spid="_x0000_s1636" o:spt="20" style="position:absolute;left:9148;top:12494;height:936;width:0;" filled="f" stroked="t" coordsize="21600,21600">
              <v:path arrowok="t"/>
              <v:fill on="f" focussize="0,0"/>
              <v:stroke weight="1.25pt" endarrow="block"/>
              <v:imagedata o:title=""/>
              <o:lock v:ext="edit"/>
            </v:line>
            <v:line id="_x0000_s1637" o:spid="_x0000_s1637" o:spt="20" style="position:absolute;left:7168;top:13742;flip:x;height:0;width:1260;" filled="f" stroked="t" coordsize="21600,21600">
              <v:path arrowok="t"/>
              <v:fill on="f" focussize="0,0"/>
              <v:stroke weight="1.25pt" endarrow="block"/>
              <v:imagedata o:title=""/>
              <o:lock v:ext="edit"/>
            </v:line>
            <v:line id="_x0000_s1638" o:spid="_x0000_s1638" o:spt="20" style="position:absolute;left:4828;top:13742;flip:x;height:0;width:1080;" filled="f" stroked="t" coordsize="21600,21600">
              <v:path arrowok="t"/>
              <v:fill on="f" focussize="0,0"/>
              <v:stroke weight="1.25pt" endarrow="block"/>
              <v:imagedata o:title=""/>
              <o:lock v:ext="edit"/>
            </v:line>
            <v:shape id="_x0000_s1639" o:spid="_x0000_s1639" o:spt="202" type="#_x0000_t202" style="position:absolute;left:8998;top:12530;height:799;width:900;" fillcolor="#9CBEE0" filled="f" stroked="f" coordsize="21600,21600">
              <v:path/>
              <v:fill on="f" color2="#BBD5F0" focussize="0,0"/>
              <v:stroke on="f"/>
              <v:imagedata o:title=""/>
              <o:lock v:ext="edit"/>
              <v:textbox>
                <w:txbxContent>
                  <w:p>
                    <w:pPr>
                      <w:spacing w:line="320" w:lineRule="exact"/>
                      <w:jc w:val="center"/>
                      <w:rPr>
                        <w:rFonts w:hint="eastAsia"/>
                      </w:rPr>
                    </w:pPr>
                    <w:r>
                      <w:rPr>
                        <w:rFonts w:hint="eastAsia"/>
                      </w:rPr>
                      <w:t>常温搅拌</w:t>
                    </w:r>
                  </w:p>
                </w:txbxContent>
              </v:textbox>
            </v:shape>
            <w10:wrap type="none"/>
            <w10:anchorlock/>
          </v:group>
        </w:pict>
      </w:r>
    </w:p>
    <w:p>
      <w:pPr>
        <w:spacing w:line="360" w:lineRule="auto"/>
        <w:jc w:val="center"/>
        <w:rPr>
          <w:rFonts w:hint="eastAsia" w:ascii="宋体" w:hAnsi="宋体" w:eastAsia="宋体" w:cs="宋体"/>
          <w:color w:val="auto"/>
          <w:sz w:val="28"/>
          <w:szCs w:val="28"/>
        </w:rPr>
      </w:pPr>
    </w:p>
    <w:p>
      <w:pPr>
        <w:spacing w:line="36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图2-3水基清洗剂生产工艺流程图</w:t>
      </w:r>
    </w:p>
    <w:p>
      <w:pPr>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pict>
          <v:group id="_x0000_s1640" o:spid="_x0000_s1640" o:spt="203" style="height:139.8pt;width:320.9pt;" coordorigin="2010,1574" coordsize="6418,2796">
            <o:lock v:ext="edit" rotation="t"/>
            <v:shape id="_x0000_s1641" o:spid="_x0000_s1641" o:spt="202" type="#_x0000_t202" style="position:absolute;left:2010;top:1796;height:624;width:1198;"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氢氧化钠</w:t>
                    </w:r>
                  </w:p>
                </w:txbxContent>
              </v:textbox>
            </v:shape>
            <v:shape id="_x0000_s1642" o:spid="_x0000_s1642" o:spt="202" type="#_x0000_t202" style="position:absolute;left:6628;top:1574;height:1036;width:180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18"/>
                        <w:szCs w:val="18"/>
                      </w:rPr>
                    </w:pPr>
                    <w:r>
                      <w:rPr>
                        <w:rFonts w:hint="eastAsia" w:ascii="宋体" w:hAnsi="宋体" w:eastAsia="宋体" w:cs="宋体"/>
                        <w:sz w:val="18"/>
                        <w:szCs w:val="18"/>
                      </w:rPr>
                      <w:t>脂肪醇聚氧乙烯醚或二乙二醇单丁醚</w:t>
                    </w:r>
                  </w:p>
                </w:txbxContent>
              </v:textbox>
            </v:shape>
            <v:shape id="_x0000_s1643" o:spid="_x0000_s1643" o:spt="202" type="#_x0000_t202" style="position:absolute;left:4108;top:1770;height:689;width:126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去离子水</w:t>
                    </w:r>
                  </w:p>
                </w:txbxContent>
              </v:textbox>
            </v:shape>
            <v:shape id="_x0000_s1644" o:spid="_x0000_s1644" o:spt="202" type="#_x0000_t202" style="position:absolute;left:6913;top:3746;height:624;width:126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检验合格</w:t>
                    </w:r>
                  </w:p>
                </w:txbxContent>
              </v:textbox>
            </v:shape>
            <v:shape id="_x0000_s1645" o:spid="_x0000_s1645" o:spt="202" type="#_x0000_t202" style="position:absolute;left:4393;top:3746;height:624;width:126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称重分装</w:t>
                    </w:r>
                  </w:p>
                </w:txbxContent>
              </v:textbox>
            </v:shape>
            <v:shape id="_x0000_s1646" o:spid="_x0000_s1646" o:spt="202" type="#_x0000_t202" style="position:absolute;left:2413;top:3746;height:566;width:900;" fillcolor="#9CBEE0" filled="f" stroked="t" coordsize="21600,21600">
              <v:path/>
              <v:fill on="f" color2="#BBD5F0" focussize="0,0"/>
              <v:stroke/>
              <v:imagedata o:title=""/>
              <o:lock v:ext="edit"/>
              <v:textbox>
                <w:txbxContent>
                  <w:p>
                    <w:pPr>
                      <w:spacing w:line="320" w:lineRule="exact"/>
                      <w:jc w:val="center"/>
                      <w:rPr>
                        <w:rFonts w:hint="eastAsia" w:ascii="宋体" w:hAnsi="宋体" w:eastAsia="宋体" w:cs="宋体"/>
                        <w:sz w:val="22"/>
                        <w:szCs w:val="22"/>
                      </w:rPr>
                    </w:pPr>
                    <w:r>
                      <w:rPr>
                        <w:rFonts w:hint="eastAsia" w:ascii="宋体" w:hAnsi="宋体" w:eastAsia="宋体" w:cs="宋体"/>
                        <w:sz w:val="22"/>
                        <w:szCs w:val="22"/>
                      </w:rPr>
                      <w:t>入 库</w:t>
                    </w:r>
                  </w:p>
                </w:txbxContent>
              </v:textbox>
            </v:shape>
            <v:line id="_x0000_s1647" o:spid="_x0000_s1647" o:spt="20" style="position:absolute;left:3205;top:2108;height:0;width:903;" filled="f" stroked="t" coordsize="21600,21600">
              <v:path arrowok="t"/>
              <v:fill on="f" focussize="0,0"/>
              <v:stroke weight="1.25pt" endarrow="block"/>
              <v:imagedata o:title=""/>
              <o:lock v:ext="edit"/>
            </v:line>
            <v:line id="_x0000_s1648" o:spid="_x0000_s1648" o:spt="20" style="position:absolute;left:5368;top:2102;height:0;width:1260;" filled="f" stroked="t" coordsize="21600,21600">
              <v:path arrowok="t"/>
              <v:fill on="f" focussize="0,0"/>
              <v:stroke weight="1.25pt" endarrow="block"/>
              <v:imagedata o:title=""/>
              <o:lock v:ext="edit"/>
            </v:line>
            <v:line id="_x0000_s1649" o:spid="_x0000_s1649" o:spt="20" style="position:absolute;left:7528;top:2621;height:1106;width:0;" filled="f" stroked="t" coordsize="21600,21600">
              <v:path arrowok="t"/>
              <v:fill on="f" focussize="0,0"/>
              <v:stroke weight="1.25pt" endarrow="block"/>
              <v:imagedata o:title=""/>
              <o:lock v:ext="edit"/>
            </v:line>
            <v:line id="_x0000_s1650" o:spid="_x0000_s1650" o:spt="20" style="position:absolute;left:5653;top:4058;flip:x;height:0;width:1260;" filled="f" stroked="t" coordsize="21600,21600">
              <v:path arrowok="t"/>
              <v:fill on="f" focussize="0,0"/>
              <v:stroke weight="1.25pt" endarrow="block"/>
              <v:imagedata o:title=""/>
              <o:lock v:ext="edit"/>
            </v:line>
            <v:line id="_x0000_s1651" o:spid="_x0000_s1651" o:spt="20" style="position:absolute;left:3313;top:4058;flip:x;height:0;width:1080;" filled="f" stroked="t" coordsize="21600,21600">
              <v:path arrowok="t"/>
              <v:fill on="f" focussize="0,0"/>
              <v:stroke weight="1.25pt" endarrow="block"/>
              <v:imagedata o:title=""/>
              <o:lock v:ext="edit"/>
            </v:line>
            <v:shape id="_x0000_s1652" o:spid="_x0000_s1652" o:spt="202" type="#_x0000_t202" style="position:absolute;left:7423;top:2723;height:799;width:900;" fillcolor="#9CBEE0" filled="f" stroked="f" coordsize="21600,21600">
              <v:path/>
              <v:fill on="f" color2="#BBD5F0" focussize="0,0"/>
              <v:stroke on="f"/>
              <v:imagedata o:title=""/>
              <o:lock v:ext="edit"/>
              <v:textbox>
                <w:txbxContent>
                  <w:p>
                    <w:pPr>
                      <w:spacing w:line="320" w:lineRule="exact"/>
                      <w:jc w:val="center"/>
                      <w:rPr>
                        <w:rFonts w:hint="eastAsia"/>
                      </w:rPr>
                    </w:pPr>
                    <w:r>
                      <w:rPr>
                        <w:rFonts w:hint="eastAsia"/>
                      </w:rPr>
                      <w:t>常温搅拌</w:t>
                    </w:r>
                  </w:p>
                </w:txbxContent>
              </v:textbox>
            </v:shape>
            <w10:wrap type="none"/>
            <w10:anchorlock/>
          </v:group>
        </w:pict>
      </w:r>
    </w:p>
    <w:p>
      <w:pPr>
        <w:spacing w:line="36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图2-4水基清洗剂生产工艺流程图</w:t>
      </w:r>
    </w:p>
    <w:p>
      <w:pPr>
        <w:tabs>
          <w:tab w:val="left" w:pos="7319"/>
        </w:tabs>
        <w:spacing w:line="360" w:lineRule="auto"/>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2.2.3生产装置基本情况</w:t>
      </w:r>
      <w:bookmarkEnd w:id="22"/>
      <w:r>
        <w:rPr>
          <w:rFonts w:ascii="宋体" w:hAnsi="宋体" w:eastAsia="宋体" w:cs="Times New Roman"/>
          <w:bCs/>
          <w:color w:val="auto"/>
          <w:kern w:val="2"/>
          <w:sz w:val="28"/>
          <w:szCs w:val="28"/>
          <w:lang w:val="en-US" w:eastAsia="zh-CN" w:bidi="ar-SA"/>
        </w:rPr>
        <w:tab/>
      </w:r>
    </w:p>
    <w:p>
      <w:pPr>
        <w:spacing w:line="360" w:lineRule="auto"/>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1)东莞优诺电子焊接材料有限公司使用</w:t>
      </w:r>
      <w:r>
        <w:rPr>
          <w:rFonts w:ascii="宋体" w:hAnsi="宋体" w:eastAsia="宋体"/>
          <w:color w:val="auto"/>
          <w:sz w:val="28"/>
          <w:szCs w:val="28"/>
          <w:lang w:eastAsia="zh-CN"/>
        </w:rPr>
        <w:t>主要设备和设施。</w:t>
      </w:r>
    </w:p>
    <w:p>
      <w:pPr>
        <w:spacing w:line="560" w:lineRule="exact"/>
        <w:jc w:val="center"/>
        <w:rPr>
          <w:rFonts w:ascii="宋体" w:hAnsi="宋体" w:eastAsia="宋体"/>
          <w:b/>
          <w:color w:val="auto"/>
        </w:rPr>
      </w:pPr>
      <w:r>
        <w:rPr>
          <w:rFonts w:ascii="宋体" w:hAnsi="宋体" w:eastAsia="宋体"/>
          <w:b/>
          <w:color w:val="auto"/>
        </w:rPr>
        <w:t>表2-</w:t>
      </w:r>
      <w:r>
        <w:rPr>
          <w:rFonts w:hint="eastAsia" w:ascii="宋体" w:hAnsi="宋体" w:eastAsia="宋体"/>
          <w:b/>
          <w:color w:val="auto"/>
          <w:lang w:eastAsia="zh-CN"/>
        </w:rPr>
        <w:t>7厂房一(厂房A、东莞优邦自动化)</w:t>
      </w:r>
      <w:r>
        <w:rPr>
          <w:rFonts w:hint="eastAsia" w:ascii="宋体" w:hAnsi="宋体" w:eastAsia="宋体"/>
          <w:b/>
          <w:color w:val="auto"/>
        </w:rPr>
        <w:t xml:space="preserve">主要设备一览表 </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1884"/>
        <w:gridCol w:w="2494"/>
        <w:gridCol w:w="975"/>
        <w:gridCol w:w="3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b/>
                <w:color w:val="auto"/>
                <w:kern w:val="2"/>
              </w:rPr>
            </w:pPr>
            <w:r>
              <w:rPr>
                <w:rFonts w:hint="eastAsia" w:ascii="宋体" w:hAnsi="宋体" w:eastAsia="宋体" w:cs="宋体"/>
                <w:b/>
                <w:color w:val="auto"/>
                <w:kern w:val="2"/>
              </w:rPr>
              <w:t>序号</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b/>
                <w:color w:val="auto"/>
                <w:kern w:val="2"/>
              </w:rPr>
            </w:pPr>
            <w:r>
              <w:rPr>
                <w:rFonts w:hint="eastAsia" w:ascii="宋体" w:hAnsi="宋体" w:eastAsia="宋体" w:cs="宋体"/>
                <w:b/>
                <w:color w:val="auto"/>
                <w:kern w:val="2"/>
              </w:rPr>
              <w:t>设备名称</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rPr>
            </w:pPr>
            <w:r>
              <w:rPr>
                <w:rFonts w:hint="eastAsia" w:ascii="宋体" w:hAnsi="宋体" w:eastAsia="宋体" w:cs="宋体"/>
                <w:b/>
                <w:color w:val="auto"/>
                <w:kern w:val="2"/>
                <w:szCs w:val="21"/>
              </w:rPr>
              <w:t>型号</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rPr>
            </w:pPr>
            <w:r>
              <w:rPr>
                <w:rFonts w:hint="eastAsia" w:ascii="宋体" w:hAnsi="宋体" w:eastAsia="宋体" w:cs="宋体"/>
                <w:b/>
                <w:color w:val="auto"/>
                <w:kern w:val="2"/>
                <w:szCs w:val="21"/>
              </w:rPr>
              <w:t>数量(台)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rPr>
            </w:pPr>
            <w:r>
              <w:rPr>
                <w:rFonts w:hint="eastAsia" w:ascii="宋体" w:hAnsi="宋体" w:eastAsia="宋体" w:cs="宋体"/>
                <w:b/>
                <w:color w:val="auto"/>
                <w:kern w:val="2"/>
                <w:szCs w:val="21"/>
              </w:rPr>
              <w:t>防爆等级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400" w:type="dxa"/>
            <w:gridSpan w:val="5"/>
            <w:noWrap w:val="0"/>
            <w:vAlign w:val="center"/>
          </w:tcPr>
          <w:p>
            <w:pPr>
              <w:keepNext w:val="0"/>
              <w:keepLines w:val="0"/>
              <w:suppressLineNumbers w:val="0"/>
              <w:spacing w:before="0" w:beforeAutospacing="0" w:after="0" w:afterAutospacing="0" w:line="360" w:lineRule="exact"/>
              <w:ind w:left="0" w:right="0"/>
              <w:jc w:val="left"/>
              <w:rPr>
                <w:rFonts w:hint="eastAsia" w:ascii="宋体" w:hAnsi="宋体" w:eastAsia="宋体" w:cs="宋体"/>
                <w:b/>
                <w:color w:val="auto"/>
                <w:kern w:val="2"/>
                <w:szCs w:val="21"/>
              </w:rPr>
            </w:pPr>
            <w:r>
              <w:rPr>
                <w:rFonts w:hint="eastAsia" w:ascii="宋体" w:hAnsi="宋体" w:eastAsia="宋体" w:cs="宋体"/>
                <w:b/>
                <w:color w:val="auto"/>
                <w:kern w:val="2"/>
                <w:szCs w:val="21"/>
              </w:rPr>
              <w:t>一、快干助焊剂、稀释剂(或清洗剂)生产设备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1</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分散釜</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GF-1000，5.5kW</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4台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2</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混合分散机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HTS-1200，5.5kW</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1台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3</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防爆地磅</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1.0T/0.5kg</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4</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防爆地磅</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5.0T/0.5kg</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4台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5</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防爆地磅</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20.0T/0.5kg</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8台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6</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防爆台秤</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60kg/0.01kg</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3台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7</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气动隔膜泵</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6661A3-344-C</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16台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8</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气动隔膜泵</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666120-344-C</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9</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PP搅拌机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GF-1200，5.5kW</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10</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双轴防爆搅拌机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22kW</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1台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11</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定速搅拌机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7.5kW</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8台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EXdⅡBT4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12</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定速搅拌机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7.5kW</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400" w:type="dxa"/>
            <w:gridSpan w:val="5"/>
            <w:noWrap w:val="0"/>
            <w:vAlign w:val="center"/>
          </w:tcPr>
          <w:p>
            <w:pPr>
              <w:keepNext w:val="0"/>
              <w:keepLines w:val="0"/>
              <w:suppressLineNumbers w:val="0"/>
              <w:spacing w:before="0" w:beforeAutospacing="0" w:after="0" w:afterAutospacing="0" w:line="360" w:lineRule="exact"/>
              <w:ind w:left="0" w:right="0"/>
              <w:jc w:val="left"/>
              <w:rPr>
                <w:rFonts w:hint="eastAsia" w:ascii="宋体" w:hAnsi="宋体" w:eastAsia="宋体" w:cs="宋体"/>
                <w:b/>
                <w:color w:val="auto"/>
                <w:kern w:val="2"/>
                <w:szCs w:val="21"/>
              </w:rPr>
            </w:pPr>
            <w:r>
              <w:rPr>
                <w:rFonts w:hint="eastAsia" w:ascii="宋体" w:hAnsi="宋体" w:eastAsia="宋体" w:cs="宋体"/>
                <w:b/>
                <w:color w:val="auto"/>
                <w:kern w:val="2"/>
                <w:szCs w:val="21"/>
                <w:lang w:val="en-US" w:eastAsia="zh-CN"/>
              </w:rPr>
              <w:t>二</w:t>
            </w:r>
            <w:r>
              <w:rPr>
                <w:rFonts w:hint="eastAsia" w:ascii="宋体" w:hAnsi="宋体" w:eastAsia="宋体" w:cs="宋体"/>
                <w:b/>
                <w:color w:val="auto"/>
                <w:kern w:val="2"/>
                <w:szCs w:val="21"/>
              </w:rPr>
              <w:t>、去离子水生产设备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1</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工业纯水机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2t/h</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1套</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400" w:type="dxa"/>
            <w:gridSpan w:val="5"/>
            <w:noWrap w:val="0"/>
            <w:vAlign w:val="center"/>
          </w:tcPr>
          <w:p>
            <w:pPr>
              <w:keepNext w:val="0"/>
              <w:keepLines w:val="0"/>
              <w:suppressLineNumbers w:val="0"/>
              <w:spacing w:before="0" w:beforeAutospacing="0" w:after="0" w:afterAutospacing="0" w:line="360" w:lineRule="exact"/>
              <w:ind w:left="0" w:right="0"/>
              <w:jc w:val="left"/>
              <w:rPr>
                <w:rFonts w:hint="eastAsia" w:ascii="宋体" w:hAnsi="宋体" w:eastAsia="宋体" w:cs="宋体"/>
                <w:b/>
                <w:color w:val="auto"/>
                <w:kern w:val="2"/>
                <w:szCs w:val="21"/>
              </w:rPr>
            </w:pPr>
            <w:r>
              <w:rPr>
                <w:rFonts w:hint="eastAsia" w:ascii="宋体" w:hAnsi="宋体" w:eastAsia="宋体" w:cs="宋体"/>
                <w:b/>
                <w:color w:val="auto"/>
                <w:kern w:val="2"/>
                <w:szCs w:val="21"/>
                <w:lang w:val="en-US" w:eastAsia="zh-CN"/>
              </w:rPr>
              <w:t>三</w:t>
            </w:r>
            <w:r>
              <w:rPr>
                <w:rFonts w:hint="eastAsia" w:ascii="宋体" w:hAnsi="宋体" w:eastAsia="宋体" w:cs="宋体"/>
                <w:b/>
                <w:color w:val="auto"/>
                <w:kern w:val="2"/>
                <w:szCs w:val="21"/>
              </w:rPr>
              <w:t>、辅助设备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1</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压缩空气螺杆机</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30P</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2台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rPr>
            </w:pPr>
            <w:r>
              <w:rPr>
                <w:rFonts w:hint="eastAsia" w:ascii="宋体" w:hAnsi="宋体" w:eastAsia="宋体" w:cs="宋体"/>
                <w:color w:val="auto"/>
                <w:kern w:val="2"/>
              </w:rPr>
              <w:t>2</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lang w:eastAsia="zh-CN"/>
              </w:rPr>
            </w:pPr>
            <w:r>
              <w:rPr>
                <w:rFonts w:hint="eastAsia" w:ascii="宋体" w:hAnsi="宋体" w:cs="宋体"/>
                <w:color w:val="auto"/>
                <w:kern w:val="2"/>
                <w:lang w:eastAsia="zh-CN"/>
              </w:rPr>
              <w:t>电动叉车</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CQDB10，限重1t</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rPr>
            </w:pPr>
            <w:r>
              <w:rPr>
                <w:rFonts w:hint="eastAsia" w:ascii="宋体" w:hAnsi="宋体" w:eastAsia="宋体" w:cs="宋体"/>
                <w:color w:val="auto"/>
                <w:kern w:val="2"/>
                <w:szCs w:val="21"/>
                <w:lang w:val="en-US" w:eastAsia="zh-CN"/>
              </w:rPr>
              <w:t>1台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粤S-03073，检测报告有效期至2021年7月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lang w:val="en-US" w:eastAsia="zh-CN"/>
              </w:rPr>
            </w:pPr>
            <w:r>
              <w:rPr>
                <w:rFonts w:hint="eastAsia" w:ascii="宋体" w:hAnsi="宋体" w:cs="宋体"/>
                <w:color w:val="auto"/>
                <w:kern w:val="2"/>
                <w:lang w:val="en-US" w:eastAsia="zh-CN"/>
              </w:rPr>
              <w:t>3</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cs="宋体"/>
                <w:color w:val="auto"/>
                <w:kern w:val="2"/>
                <w:lang w:eastAsia="zh-CN"/>
              </w:rPr>
            </w:pPr>
            <w:r>
              <w:rPr>
                <w:rFonts w:hint="eastAsia" w:ascii="宋体" w:hAnsi="宋体" w:cs="宋体"/>
                <w:color w:val="auto"/>
                <w:kern w:val="2"/>
                <w:lang w:eastAsia="zh-CN"/>
              </w:rPr>
              <w:t>电动叉车</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TK15-30/限重1.5t</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1台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粤S-09740，检测报告有效期至2021年7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eastAsia="宋体" w:cs="宋体"/>
                <w:color w:val="auto"/>
                <w:kern w:val="2"/>
                <w:lang w:val="en-US" w:eastAsia="zh-CN"/>
              </w:rPr>
            </w:pPr>
            <w:r>
              <w:rPr>
                <w:rFonts w:hint="eastAsia" w:ascii="宋体" w:hAnsi="宋体" w:cs="宋体"/>
                <w:color w:val="auto"/>
                <w:kern w:val="2"/>
                <w:lang w:val="en-US" w:eastAsia="zh-CN"/>
              </w:rPr>
              <w:t>4</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cs="宋体"/>
                <w:color w:val="auto"/>
                <w:kern w:val="2"/>
                <w:lang w:eastAsia="zh-CN"/>
              </w:rPr>
            </w:pPr>
            <w:r>
              <w:rPr>
                <w:rFonts w:hint="eastAsia" w:ascii="宋体" w:hAnsi="宋体" w:cs="宋体"/>
                <w:color w:val="auto"/>
                <w:kern w:val="2"/>
                <w:lang w:eastAsia="zh-CN"/>
              </w:rPr>
              <w:t>电动叉车</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TK4135，限重3.5t</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1台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粤S-09741，检测报告有效期至2021年6月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30"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default" w:ascii="宋体" w:hAnsi="宋体" w:cs="宋体"/>
                <w:color w:val="auto"/>
                <w:kern w:val="2"/>
                <w:lang w:val="en-US" w:eastAsia="zh-CN"/>
              </w:rPr>
            </w:pPr>
            <w:r>
              <w:rPr>
                <w:rFonts w:hint="eastAsia" w:ascii="宋体" w:hAnsi="宋体" w:cs="宋体"/>
                <w:color w:val="auto"/>
                <w:kern w:val="2"/>
                <w:lang w:val="en-US" w:eastAsia="zh-CN"/>
              </w:rPr>
              <w:t>5</w:t>
            </w:r>
          </w:p>
        </w:tc>
        <w:tc>
          <w:tcPr>
            <w:tcW w:w="1884" w:type="dxa"/>
            <w:noWrap w:val="0"/>
            <w:vAlign w:val="center"/>
          </w:tcPr>
          <w:p>
            <w:pPr>
              <w:pStyle w:val="245"/>
              <w:keepNext w:val="0"/>
              <w:keepLines w:val="0"/>
              <w:widowControl w:val="0"/>
              <w:suppressLineNumbers w:val="0"/>
              <w:pBdr>
                <w:bottom w:val="none" w:color="auto" w:sz="0" w:space="0"/>
                <w:right w:val="none" w:color="auto" w:sz="0" w:space="0"/>
              </w:pBdr>
              <w:spacing w:before="0" w:beforeAutospacing="0" w:after="0" w:afterAutospacing="0" w:line="360" w:lineRule="exact"/>
              <w:ind w:left="0" w:right="0"/>
              <w:jc w:val="center"/>
              <w:rPr>
                <w:rFonts w:hint="eastAsia" w:ascii="宋体" w:hAnsi="宋体" w:cs="宋体"/>
                <w:color w:val="auto"/>
                <w:kern w:val="2"/>
                <w:lang w:eastAsia="zh-CN"/>
              </w:rPr>
            </w:pPr>
            <w:r>
              <w:rPr>
                <w:rFonts w:hint="eastAsia" w:ascii="宋体" w:hAnsi="宋体" w:cs="宋体"/>
                <w:color w:val="auto"/>
                <w:kern w:val="2"/>
                <w:lang w:eastAsia="zh-CN"/>
              </w:rPr>
              <w:t>防爆电动叉车</w:t>
            </w:r>
          </w:p>
        </w:tc>
        <w:tc>
          <w:tcPr>
            <w:tcW w:w="2494"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CPDB30AC，限重3t</w:t>
            </w:r>
          </w:p>
        </w:tc>
        <w:tc>
          <w:tcPr>
            <w:tcW w:w="975"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1台</w:t>
            </w:r>
          </w:p>
        </w:tc>
        <w:tc>
          <w:tcPr>
            <w:tcW w:w="3217" w:type="dxa"/>
            <w:noWrap w:val="0"/>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粤S-14803，检测报告有效期至2021年6月</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560" w:firstLineChars="200"/>
        <w:jc w:val="both"/>
        <w:textAlignment w:val="auto"/>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特种设备</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根据《特种设备安全监察条例》(中华人民共和国国务院令第549号)对特种设备的定义：特种设备是指涉及生命安全、危险性较大的锅炉、压力容器(含气瓶)、压力管道、电梯、起重机械、客运索道、大型游乐设施和场(厂)内专用机动车辆，该项目</w:t>
      </w:r>
      <w:r>
        <w:rPr>
          <w:rFonts w:hint="eastAsia" w:ascii="宋体" w:hAnsi="宋体" w:eastAsia="宋体"/>
          <w:color w:val="auto"/>
          <w:sz w:val="28"/>
          <w:szCs w:val="28"/>
          <w:lang w:eastAsia="zh-CN"/>
        </w:rPr>
        <w:t>生产过程中使用的叉车属于特种设备</w:t>
      </w:r>
      <w:r>
        <w:rPr>
          <w:rFonts w:ascii="宋体" w:hAnsi="宋体" w:eastAsia="宋体"/>
          <w:color w:val="auto"/>
          <w:sz w:val="28"/>
          <w:szCs w:val="28"/>
          <w:lang w:eastAsia="zh-CN"/>
        </w:rPr>
        <w:t>。</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23" w:name="_Toc26392"/>
      <w:bookmarkStart w:id="24" w:name="bookmark21"/>
      <w:r>
        <w:rPr>
          <w:rFonts w:ascii="楷体_GB2312" w:hAnsi="Times New Roman" w:eastAsia="楷体_GB2312" w:cs="Times New Roman"/>
          <w:b/>
          <w:bCs w:val="0"/>
          <w:color w:val="auto"/>
          <w:kern w:val="2"/>
          <w:sz w:val="32"/>
          <w:lang w:val="en-US" w:eastAsia="zh-CN" w:bidi="ar-SA"/>
        </w:rPr>
        <w:t>2.3公用工程及辅助设施</w:t>
      </w:r>
      <w:bookmarkEnd w:id="23"/>
    </w:p>
    <w:p>
      <w:pPr>
        <w:spacing w:line="360" w:lineRule="auto"/>
        <w:jc w:val="both"/>
        <w:outlineLvl w:val="2"/>
        <w:rPr>
          <w:rFonts w:hint="eastAsia" w:ascii="宋体" w:hAnsi="宋体" w:eastAsia="宋体" w:cs="宋体"/>
          <w:b/>
          <w:bCs w:val="0"/>
          <w:color w:val="auto"/>
          <w:kern w:val="2"/>
          <w:sz w:val="28"/>
          <w:szCs w:val="28"/>
          <w:lang w:val="en-US" w:eastAsia="zh-CN" w:bidi="ar-SA"/>
        </w:rPr>
      </w:pPr>
      <w:r>
        <w:rPr>
          <w:rFonts w:hint="eastAsia" w:ascii="宋体" w:hAnsi="宋体" w:eastAsia="宋体" w:cs="宋体"/>
          <w:b/>
          <w:bCs w:val="0"/>
          <w:color w:val="auto"/>
          <w:kern w:val="2"/>
          <w:sz w:val="28"/>
          <w:szCs w:val="28"/>
          <w:lang w:val="en-US" w:eastAsia="zh-CN" w:bidi="ar-SA"/>
        </w:rPr>
        <w:t>2.3.1给排水</w:t>
      </w:r>
      <w:bookmarkEnd w:id="24"/>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1)给水该公司给水系统由市政供水管网接入，供水压力约0.3MPa，给水设施主要用于宿舍、办公楼、配制去离子水等，以及车间、仓库地面清洁。公司年用水量约24000m³。</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2)排水：该公司生产过程中产生的生产废水和地面清洁的废水收集装入回收桶中，送至有处理资质的单位统一处理。排水设施主要用于生活污水的排放，冲厕水通过化粪池预处理后排入市政污水管网，沐浴水和洗涤水直接排入市政生活污水管网，雨水管网单独设置，不与厂区污水排放系统连接，直接接入市政雨水管网。</w:t>
      </w:r>
    </w:p>
    <w:p>
      <w:pPr>
        <w:spacing w:line="360" w:lineRule="auto"/>
        <w:jc w:val="both"/>
        <w:outlineLvl w:val="2"/>
        <w:rPr>
          <w:rFonts w:hint="eastAsia" w:ascii="宋体" w:hAnsi="宋体" w:eastAsia="宋体" w:cs="宋体"/>
          <w:bCs/>
          <w:color w:val="auto"/>
          <w:kern w:val="2"/>
          <w:sz w:val="28"/>
          <w:szCs w:val="28"/>
          <w:lang w:val="en-US" w:eastAsia="zh-CN" w:bidi="ar-SA"/>
        </w:rPr>
      </w:pPr>
      <w:bookmarkStart w:id="25" w:name="bookmark22"/>
      <w:r>
        <w:rPr>
          <w:rFonts w:hint="eastAsia" w:ascii="宋体" w:hAnsi="宋体" w:eastAsia="宋体" w:cs="宋体"/>
          <w:bCs/>
          <w:color w:val="auto"/>
          <w:kern w:val="2"/>
          <w:sz w:val="28"/>
          <w:szCs w:val="28"/>
          <w:lang w:val="en-US" w:eastAsia="zh-CN" w:bidi="ar-SA"/>
        </w:rPr>
        <w:t>2.3.2供配电</w:t>
      </w:r>
      <w:bookmarkEnd w:id="25"/>
    </w:p>
    <w:p>
      <w:pPr>
        <w:spacing w:line="360" w:lineRule="auto"/>
        <w:ind w:firstLine="425" w:firstLineChars="152"/>
        <w:jc w:val="both"/>
        <w:rPr>
          <w:rFonts w:hint="eastAsia" w:ascii="宋体" w:hAnsi="宋体" w:eastAsia="宋体" w:cs="宋体"/>
          <w:color w:val="auto"/>
          <w:sz w:val="28"/>
          <w:szCs w:val="28"/>
        </w:rPr>
      </w:pPr>
      <w:r>
        <w:rPr>
          <w:rFonts w:hint="eastAsia" w:ascii="宋体" w:hAnsi="宋体" w:eastAsia="宋体" w:cs="宋体"/>
          <w:color w:val="auto"/>
          <w:sz w:val="28"/>
          <w:szCs w:val="28"/>
        </w:rPr>
        <w:t>1)供配电系统</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该公司采用三级负荷供电，由电网公司供电。10kV高压电经厂区内变压器变压以后接入配电房的配电柜，再由配电柜向各生产、生活设施提供380V/220V电源。</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2)照明配线</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室外照明线路采用电缆穿管埋地敷设，经过道路处穿钢管保护；室内照明线路在爆炸危险区域内采用阻燃电线穿钢管保护明敷；非防爆区域采用阻燃电线穿难燃塑料线槽沿墙明敷。</w:t>
      </w:r>
    </w:p>
    <w:p>
      <w:pPr>
        <w:spacing w:line="360" w:lineRule="auto"/>
        <w:jc w:val="both"/>
        <w:outlineLvl w:val="2"/>
        <w:rPr>
          <w:rFonts w:ascii="宋体" w:hAnsi="宋体" w:eastAsia="宋体" w:cs="Times New Roman"/>
          <w:bCs/>
          <w:color w:val="auto"/>
          <w:kern w:val="2"/>
          <w:sz w:val="28"/>
          <w:szCs w:val="28"/>
          <w:lang w:val="en-US" w:eastAsia="zh-CN" w:bidi="ar-SA"/>
        </w:rPr>
      </w:pPr>
      <w:bookmarkStart w:id="26" w:name="bookmark23"/>
      <w:r>
        <w:rPr>
          <w:rFonts w:ascii="宋体" w:hAnsi="宋体" w:eastAsia="宋体" w:cs="Times New Roman"/>
          <w:bCs/>
          <w:color w:val="auto"/>
          <w:kern w:val="2"/>
          <w:sz w:val="28"/>
          <w:szCs w:val="28"/>
          <w:lang w:val="en-US" w:eastAsia="zh-CN" w:bidi="ar-SA"/>
        </w:rPr>
        <w:t>2.3.3消防设施</w:t>
      </w:r>
      <w:bookmarkEnd w:id="26"/>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公司配备有泡沫、消防水灭火系统，车间、仓库、办公室等配备有手提式和推车式干粉灭火器。厂区内设置有地下消防水池一座，容积约200m³，位于宿舍楼附近；宿舍楼一楼设置有消防泵房，内设一个3m³泡沫罐，两台消防水泵，两台泡沫泵，各一用一备。</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该公司的消防系统经消防部门验收合格，取得验收意见书，文号：东公消验字[2006]第30-0004号、东公消验字[2007]第01-448号、东公岭消验字[2016]第0073号。消防设备、设施配置情况如表2-</w:t>
      </w:r>
      <w:r>
        <w:rPr>
          <w:rFonts w:hint="eastAsia" w:ascii="宋体" w:hAnsi="宋体" w:eastAsia="宋体"/>
          <w:color w:val="auto"/>
          <w:sz w:val="28"/>
          <w:szCs w:val="28"/>
          <w:lang w:val="en-US" w:eastAsia="zh-CN"/>
        </w:rPr>
        <w:t>8</w:t>
      </w:r>
      <w:r>
        <w:rPr>
          <w:rFonts w:hint="eastAsia" w:ascii="宋体" w:hAnsi="宋体" w:eastAsia="宋体"/>
          <w:color w:val="auto"/>
          <w:sz w:val="28"/>
          <w:szCs w:val="28"/>
          <w:lang w:eastAsia="zh-CN"/>
        </w:rPr>
        <w:t>所示。消防验收情况详见表2-</w:t>
      </w:r>
      <w:r>
        <w:rPr>
          <w:rFonts w:hint="eastAsia" w:ascii="宋体" w:hAnsi="宋体" w:eastAsia="宋体"/>
          <w:color w:val="auto"/>
          <w:sz w:val="28"/>
          <w:szCs w:val="28"/>
          <w:lang w:val="en-US" w:eastAsia="zh-CN"/>
        </w:rPr>
        <w:t>9</w:t>
      </w:r>
      <w:r>
        <w:rPr>
          <w:rFonts w:hint="eastAsia" w:ascii="宋体" w:hAnsi="宋体" w:eastAsia="宋体"/>
          <w:color w:val="auto"/>
          <w:sz w:val="28"/>
          <w:szCs w:val="28"/>
          <w:lang w:eastAsia="zh-CN"/>
        </w:rPr>
        <w:t>。</w:t>
      </w:r>
    </w:p>
    <w:p>
      <w:pPr>
        <w:pStyle w:val="2"/>
        <w:rPr>
          <w:rFonts w:hint="eastAsia"/>
          <w:color w:val="auto"/>
          <w:lang w:eastAsia="zh-CN"/>
        </w:rPr>
      </w:pPr>
    </w:p>
    <w:p>
      <w:pPr>
        <w:spacing w:line="520" w:lineRule="exact"/>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表2-</w:t>
      </w:r>
      <w:r>
        <w:rPr>
          <w:rFonts w:hint="eastAsia" w:ascii="宋体" w:hAnsi="宋体" w:eastAsia="宋体" w:cs="宋体"/>
          <w:b/>
          <w:bCs/>
          <w:color w:val="auto"/>
          <w:sz w:val="24"/>
          <w:szCs w:val="24"/>
          <w:lang w:val="en-US" w:eastAsia="zh-CN"/>
        </w:rPr>
        <w:t>7</w:t>
      </w:r>
      <w:r>
        <w:rPr>
          <w:rFonts w:hint="eastAsia" w:ascii="宋体" w:hAnsi="宋体" w:eastAsia="宋体" w:cs="宋体"/>
          <w:b/>
          <w:bCs/>
          <w:color w:val="auto"/>
          <w:sz w:val="24"/>
          <w:szCs w:val="24"/>
        </w:rPr>
        <w:t>消防设备、设施一览表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1"/>
        <w:gridCol w:w="2323"/>
        <w:gridCol w:w="1444"/>
        <w:gridCol w:w="1020"/>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7" w:leftChars="-25" w:right="0" w:hanging="53" w:hangingChars="25"/>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名称</w:t>
            </w:r>
          </w:p>
        </w:tc>
        <w:tc>
          <w:tcPr>
            <w:tcW w:w="2323" w:type="dxa"/>
            <w:noWrap w:val="0"/>
            <w:vAlign w:val="center"/>
          </w:tcPr>
          <w:p>
            <w:pPr>
              <w:keepNext w:val="0"/>
              <w:keepLines w:val="0"/>
              <w:suppressLineNumbers w:val="0"/>
              <w:spacing w:before="0" w:beforeAutospacing="0" w:after="0" w:afterAutospacing="0" w:line="280" w:lineRule="exact"/>
              <w:ind w:left="-6" w:leftChars="-19" w:right="0" w:hanging="40" w:hangingChars="19"/>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型号</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数量</w:t>
            </w:r>
          </w:p>
        </w:tc>
        <w:tc>
          <w:tcPr>
            <w:tcW w:w="1020" w:type="dxa"/>
            <w:noWrap w:val="0"/>
            <w:vAlign w:val="center"/>
          </w:tcPr>
          <w:p>
            <w:pPr>
              <w:keepNext w:val="0"/>
              <w:keepLines w:val="0"/>
              <w:suppressLineNumbers w:val="0"/>
              <w:spacing w:before="0" w:beforeAutospacing="0" w:after="0" w:afterAutospacing="0" w:line="280" w:lineRule="exact"/>
              <w:ind w:left="-11" w:leftChars="-37" w:right="0" w:hanging="78" w:hangingChars="37"/>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状况</w:t>
            </w:r>
          </w:p>
        </w:tc>
        <w:tc>
          <w:tcPr>
            <w:tcW w:w="1472" w:type="dxa"/>
            <w:noWrap w:val="0"/>
            <w:vAlign w:val="center"/>
          </w:tcPr>
          <w:p>
            <w:pPr>
              <w:keepNext w:val="0"/>
              <w:keepLines w:val="0"/>
              <w:suppressLineNumbers w:val="0"/>
              <w:spacing w:before="0" w:beforeAutospacing="0" w:after="0" w:afterAutospacing="0" w:line="280" w:lineRule="exact"/>
              <w:ind w:left="-13" w:leftChars="-45" w:right="0" w:hanging="95" w:hangingChars="45"/>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水消防栓</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DN65</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18个</w:t>
            </w:r>
          </w:p>
        </w:tc>
        <w:tc>
          <w:tcPr>
            <w:tcW w:w="1020" w:type="dxa"/>
            <w:noWrap w:val="0"/>
            <w:vAlign w:val="center"/>
          </w:tcPr>
          <w:p>
            <w:pPr>
              <w:keepNext w:val="0"/>
              <w:keepLines w:val="0"/>
              <w:suppressLineNumbers w:val="0"/>
              <w:spacing w:before="0" w:beforeAutospacing="0" w:after="0" w:afterAutospacing="0" w:line="280" w:lineRule="exact"/>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泡沫消防栓</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DN65</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7个</w:t>
            </w:r>
          </w:p>
        </w:tc>
        <w:tc>
          <w:tcPr>
            <w:tcW w:w="1020" w:type="dxa"/>
            <w:noWrap w:val="0"/>
            <w:vAlign w:val="center"/>
          </w:tcPr>
          <w:p>
            <w:pPr>
              <w:keepNext w:val="0"/>
              <w:keepLines w:val="0"/>
              <w:suppressLineNumbers w:val="0"/>
              <w:spacing w:before="0" w:beforeAutospacing="0" w:after="0" w:afterAutospacing="0" w:line="280" w:lineRule="exact"/>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水消防泵</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IS80-50-200</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2台</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泡沫消防泵</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IS100-80-160A</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2台</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室外地上式水消防栓</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DN100</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1套</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室内消防栓箱</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HR-1</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3个</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室外消防栓箱</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HR-1</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12个</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泡沫罐</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3m³</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1个</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灭火砂</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30桶</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推车式干粉灭火器</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35kg</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3支</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手提式干粉灭火器</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4kg</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100支</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手提式机械泡沫灭火器</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MJPZ3</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14支</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推车式机械泡沫灭火器</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MJPZ25</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4支</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41" w:type="dxa"/>
            <w:noWrap w:val="0"/>
            <w:vAlign w:val="center"/>
          </w:tcPr>
          <w:p>
            <w:pPr>
              <w:keepNext w:val="0"/>
              <w:keepLines w:val="0"/>
              <w:suppressLineNumbers w:val="0"/>
              <w:spacing w:before="0" w:beforeAutospacing="0" w:after="0" w:afterAutospacing="0" w:line="280" w:lineRule="exact"/>
              <w:ind w:left="-8" w:leftChars="-25" w:right="0" w:hanging="52" w:hangingChars="25"/>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消防水池</w:t>
            </w:r>
          </w:p>
        </w:tc>
        <w:tc>
          <w:tcPr>
            <w:tcW w:w="2323" w:type="dxa"/>
            <w:noWrap w:val="0"/>
            <w:vAlign w:val="center"/>
          </w:tcPr>
          <w:p>
            <w:pPr>
              <w:keepNext w:val="0"/>
              <w:keepLines w:val="0"/>
              <w:suppressLineNumbers w:val="0"/>
              <w:spacing w:before="0" w:beforeAutospacing="0" w:after="0" w:afterAutospacing="0" w:line="280" w:lineRule="exact"/>
              <w:ind w:left="-7" w:leftChars="-19" w:right="0" w:hanging="39" w:hangingChars="19"/>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200m³</w:t>
            </w:r>
          </w:p>
        </w:tc>
        <w:tc>
          <w:tcPr>
            <w:tcW w:w="1444" w:type="dxa"/>
            <w:noWrap w:val="0"/>
            <w:vAlign w:val="center"/>
          </w:tcPr>
          <w:p>
            <w:pPr>
              <w:keepNext w:val="0"/>
              <w:keepLines w:val="0"/>
              <w:suppressLineNumbers w:val="0"/>
              <w:spacing w:before="0" w:beforeAutospacing="0" w:after="0" w:afterAutospacing="0" w:line="280" w:lineRule="exact"/>
              <w:ind w:left="-10" w:leftChars="-32" w:right="0" w:hanging="67" w:hangingChars="32"/>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1个</w:t>
            </w:r>
          </w:p>
        </w:tc>
        <w:tc>
          <w:tcPr>
            <w:tcW w:w="1020" w:type="dxa"/>
            <w:noWrap w:val="0"/>
            <w:vAlign w:val="center"/>
          </w:tcPr>
          <w:p>
            <w:pPr>
              <w:keepNext w:val="0"/>
              <w:keepLines w:val="0"/>
              <w:suppressLineNumbers w:val="0"/>
              <w:spacing w:before="0" w:beforeAutospacing="0" w:after="0" w:afterAutospacing="0"/>
              <w:ind w:left="-12" w:leftChars="-37" w:right="0" w:hanging="77" w:hangingChars="37"/>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1472" w:type="dxa"/>
            <w:noWrap w:val="0"/>
            <w:vAlign w:val="center"/>
          </w:tcPr>
          <w:p>
            <w:pPr>
              <w:keepNext w:val="0"/>
              <w:keepLines w:val="0"/>
              <w:suppressLineNumbers w:val="0"/>
              <w:spacing w:before="0" w:beforeAutospacing="0" w:after="0" w:afterAutospacing="0" w:line="280" w:lineRule="exact"/>
              <w:ind w:left="-14" w:leftChars="-45" w:right="0" w:hanging="94" w:hangingChars="45"/>
              <w:jc w:val="center"/>
              <w:rPr>
                <w:rFonts w:hint="eastAsia" w:ascii="宋体" w:hAnsi="宋体" w:eastAsia="宋体" w:cs="宋体"/>
                <w:color w:val="auto"/>
                <w:kern w:val="2"/>
                <w:sz w:val="21"/>
                <w:szCs w:val="21"/>
              </w:rPr>
            </w:pPr>
          </w:p>
        </w:tc>
      </w:tr>
    </w:tbl>
    <w:p>
      <w:pPr>
        <w:spacing w:line="520" w:lineRule="exact"/>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表2-</w:t>
      </w:r>
      <w:r>
        <w:rPr>
          <w:rFonts w:hint="eastAsia" w:ascii="宋体" w:hAnsi="宋体" w:eastAsia="宋体" w:cs="宋体"/>
          <w:b/>
          <w:bCs/>
          <w:color w:val="auto"/>
          <w:sz w:val="24"/>
          <w:szCs w:val="24"/>
          <w:lang w:val="en-US" w:eastAsia="zh-CN"/>
        </w:rPr>
        <w:t>9</w:t>
      </w:r>
      <w:r>
        <w:rPr>
          <w:rFonts w:hint="eastAsia" w:ascii="宋体" w:hAnsi="宋体" w:eastAsia="宋体" w:cs="宋体"/>
          <w:b/>
          <w:bCs/>
          <w:color w:val="auto"/>
          <w:sz w:val="24"/>
          <w:szCs w:val="24"/>
        </w:rPr>
        <w:t>消防验收情况</w:t>
      </w:r>
    </w:p>
    <w:tbl>
      <w:tblPr>
        <w:tblStyle w:val="4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736"/>
        <w:gridCol w:w="1985"/>
        <w:gridCol w:w="1444"/>
        <w:gridCol w:w="2404"/>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noWrap w:val="0"/>
            <w:vAlign w:val="center"/>
          </w:tcPr>
          <w:p>
            <w:pPr>
              <w:keepNext w:val="0"/>
              <w:keepLines w:val="0"/>
              <w:suppressLineNumbers w:val="0"/>
              <w:spacing w:before="0" w:beforeAutospacing="0" w:after="0" w:afterAutospacing="0" w:line="280" w:lineRule="exact"/>
              <w:ind w:left="-122" w:leftChars="-51" w:right="0" w:firstLine="108" w:firstLineChars="51"/>
              <w:jc w:val="center"/>
              <w:rPr>
                <w:rFonts w:hint="eastAsia" w:ascii="宋体" w:hAnsi="宋体" w:eastAsia="宋体" w:cs="宋体"/>
                <w:b/>
                <w:caps/>
                <w:color w:val="auto"/>
                <w:kern w:val="2"/>
                <w:sz w:val="21"/>
                <w:szCs w:val="21"/>
              </w:rPr>
            </w:pPr>
            <w:r>
              <w:rPr>
                <w:rFonts w:hint="eastAsia" w:ascii="宋体" w:hAnsi="宋体" w:eastAsia="宋体" w:cs="宋体"/>
                <w:b/>
                <w:caps/>
                <w:color w:val="auto"/>
                <w:kern w:val="2"/>
                <w:sz w:val="21"/>
                <w:szCs w:val="21"/>
              </w:rPr>
              <w:t>名称</w:t>
            </w:r>
          </w:p>
        </w:tc>
        <w:tc>
          <w:tcPr>
            <w:tcW w:w="1736"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b/>
                <w:caps/>
                <w:color w:val="auto"/>
                <w:kern w:val="2"/>
                <w:sz w:val="21"/>
                <w:szCs w:val="21"/>
              </w:rPr>
            </w:pPr>
            <w:r>
              <w:rPr>
                <w:rFonts w:hint="eastAsia" w:ascii="宋体" w:hAnsi="宋体" w:eastAsia="宋体" w:cs="宋体"/>
                <w:b/>
                <w:caps/>
                <w:color w:val="auto"/>
                <w:kern w:val="2"/>
                <w:sz w:val="21"/>
                <w:szCs w:val="21"/>
              </w:rPr>
              <w:t>验收单位</w:t>
            </w:r>
          </w:p>
        </w:tc>
        <w:tc>
          <w:tcPr>
            <w:tcW w:w="1985"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b/>
                <w:caps/>
                <w:color w:val="auto"/>
                <w:kern w:val="2"/>
                <w:sz w:val="21"/>
                <w:szCs w:val="21"/>
              </w:rPr>
            </w:pPr>
            <w:r>
              <w:rPr>
                <w:rFonts w:hint="eastAsia" w:ascii="宋体" w:hAnsi="宋体" w:eastAsia="宋体" w:cs="宋体"/>
                <w:b/>
                <w:caps/>
                <w:color w:val="auto"/>
                <w:kern w:val="2"/>
                <w:sz w:val="21"/>
                <w:szCs w:val="21"/>
              </w:rPr>
              <w:t>证件编号</w:t>
            </w:r>
          </w:p>
        </w:tc>
        <w:tc>
          <w:tcPr>
            <w:tcW w:w="1444"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b/>
                <w:caps/>
                <w:color w:val="auto"/>
                <w:kern w:val="2"/>
                <w:sz w:val="21"/>
                <w:szCs w:val="21"/>
              </w:rPr>
            </w:pPr>
            <w:r>
              <w:rPr>
                <w:rFonts w:hint="eastAsia" w:ascii="宋体" w:hAnsi="宋体" w:eastAsia="宋体" w:cs="宋体"/>
                <w:b/>
                <w:caps/>
                <w:color w:val="auto"/>
                <w:kern w:val="2"/>
                <w:sz w:val="21"/>
                <w:szCs w:val="21"/>
              </w:rPr>
              <w:t>发证日期</w:t>
            </w:r>
          </w:p>
        </w:tc>
        <w:tc>
          <w:tcPr>
            <w:tcW w:w="2404"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b/>
                <w:caps/>
                <w:color w:val="auto"/>
                <w:kern w:val="2"/>
                <w:sz w:val="21"/>
                <w:szCs w:val="21"/>
              </w:rPr>
            </w:pPr>
            <w:r>
              <w:rPr>
                <w:rFonts w:hint="eastAsia" w:ascii="宋体" w:hAnsi="宋体" w:eastAsia="宋体" w:cs="宋体"/>
                <w:b/>
                <w:color w:val="auto"/>
                <w:kern w:val="2"/>
                <w:sz w:val="21"/>
                <w:szCs w:val="21"/>
              </w:rPr>
              <w:t>审核、</w:t>
            </w:r>
            <w:r>
              <w:rPr>
                <w:rFonts w:hint="eastAsia" w:ascii="宋体" w:hAnsi="宋体" w:eastAsia="宋体" w:cs="宋体"/>
                <w:b/>
                <w:caps/>
                <w:color w:val="auto"/>
                <w:kern w:val="2"/>
                <w:sz w:val="21"/>
                <w:szCs w:val="21"/>
              </w:rPr>
              <w:t>验收对象</w:t>
            </w:r>
          </w:p>
        </w:tc>
        <w:tc>
          <w:tcPr>
            <w:tcW w:w="872"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b/>
                <w:caps/>
                <w:color w:val="auto"/>
                <w:kern w:val="2"/>
                <w:sz w:val="21"/>
                <w:szCs w:val="21"/>
              </w:rPr>
            </w:pPr>
            <w:r>
              <w:rPr>
                <w:rFonts w:hint="eastAsia" w:ascii="宋体" w:hAnsi="宋体" w:eastAsia="宋体" w:cs="宋体"/>
                <w:b/>
                <w:caps/>
                <w:color w:val="auto"/>
                <w:kern w:val="2"/>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Merge w:val="restart"/>
            <w:noWrap w:val="0"/>
            <w:vAlign w:val="center"/>
          </w:tcPr>
          <w:p>
            <w:pPr>
              <w:keepNext w:val="0"/>
              <w:keepLines w:val="0"/>
              <w:suppressLineNumbers w:val="0"/>
              <w:spacing w:before="0" w:beforeAutospacing="0" w:after="0" w:afterAutospacing="0" w:line="280" w:lineRule="exact"/>
              <w:ind w:left="-2" w:leftChars="-5" w:right="0" w:hanging="10" w:hangingChars="5"/>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建筑工程消防验收意见书</w:t>
            </w:r>
          </w:p>
        </w:tc>
        <w:tc>
          <w:tcPr>
            <w:tcW w:w="1736"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东莞市公安局大岭山分局</w:t>
            </w:r>
          </w:p>
        </w:tc>
        <w:tc>
          <w:tcPr>
            <w:tcW w:w="1985"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东公消验字[2006]第30-0004号</w:t>
            </w:r>
          </w:p>
        </w:tc>
        <w:tc>
          <w:tcPr>
            <w:tcW w:w="1444"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2006.01.20</w:t>
            </w:r>
          </w:p>
        </w:tc>
        <w:tc>
          <w:tcPr>
            <w:tcW w:w="2404" w:type="dxa"/>
            <w:noWrap w:val="0"/>
            <w:vAlign w:val="center"/>
          </w:tcPr>
          <w:p>
            <w:pPr>
              <w:keepNext w:val="0"/>
              <w:keepLines w:val="0"/>
              <w:suppressLineNumbers w:val="0"/>
              <w:spacing w:before="0" w:beforeAutospacing="0" w:after="0" w:afterAutospacing="0" w:line="280" w:lineRule="exact"/>
              <w:ind w:left="0" w:right="0"/>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厂房一(厂房A、东莞优邦自动化)、厂房四（厂房C）、库房一(仓库A)、办公楼</w:t>
            </w:r>
          </w:p>
        </w:tc>
        <w:tc>
          <w:tcPr>
            <w:tcW w:w="872" w:type="dxa"/>
            <w:vMerge w:val="restart"/>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Merge w:val="continue"/>
            <w:noWrap w:val="0"/>
            <w:vAlign w:val="center"/>
          </w:tcPr>
          <w:p>
            <w:pPr>
              <w:keepNext w:val="0"/>
              <w:keepLines w:val="0"/>
              <w:suppressLineNumbers w:val="0"/>
              <w:spacing w:before="0" w:beforeAutospacing="0" w:after="0" w:afterAutospacing="0" w:line="280" w:lineRule="exact"/>
              <w:ind w:left="-122" w:leftChars="-51" w:right="0"/>
              <w:rPr>
                <w:rFonts w:hint="eastAsia" w:ascii="宋体" w:hAnsi="宋体" w:eastAsia="宋体" w:cs="宋体"/>
                <w:color w:val="auto"/>
                <w:kern w:val="2"/>
                <w:sz w:val="21"/>
                <w:szCs w:val="21"/>
              </w:rPr>
            </w:pPr>
          </w:p>
        </w:tc>
        <w:tc>
          <w:tcPr>
            <w:tcW w:w="1736"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东莞市公安消防局大岭山大队</w:t>
            </w:r>
            <w:r>
              <w:rPr>
                <w:rFonts w:hint="eastAsia" w:ascii="宋体" w:hAnsi="宋体" w:eastAsia="宋体" w:cs="宋体"/>
                <w:color w:val="auto"/>
                <w:kern w:val="2"/>
                <w:sz w:val="21"/>
                <w:szCs w:val="21"/>
              </w:rPr>
              <w:t>第一大队</w:t>
            </w:r>
          </w:p>
        </w:tc>
        <w:tc>
          <w:tcPr>
            <w:tcW w:w="1985"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东公消验字[2007]第01-448号</w:t>
            </w:r>
          </w:p>
        </w:tc>
        <w:tc>
          <w:tcPr>
            <w:tcW w:w="1444"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2007.9.24</w:t>
            </w:r>
          </w:p>
        </w:tc>
        <w:tc>
          <w:tcPr>
            <w:tcW w:w="2404"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厂房四（厂房C）、库房一(仓库A)</w:t>
            </w:r>
          </w:p>
        </w:tc>
        <w:tc>
          <w:tcPr>
            <w:tcW w:w="872" w:type="dxa"/>
            <w:vMerge w:val="continue"/>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Merge w:val="continue"/>
            <w:noWrap w:val="0"/>
            <w:vAlign w:val="center"/>
          </w:tcPr>
          <w:p>
            <w:pPr>
              <w:keepNext w:val="0"/>
              <w:keepLines w:val="0"/>
              <w:suppressLineNumbers w:val="0"/>
              <w:spacing w:before="0" w:beforeAutospacing="0" w:after="0" w:afterAutospacing="0" w:line="280" w:lineRule="exact"/>
              <w:ind w:left="-122" w:leftChars="-51" w:right="0"/>
              <w:rPr>
                <w:rFonts w:hint="eastAsia" w:ascii="宋体" w:hAnsi="宋体" w:eastAsia="宋体" w:cs="宋体"/>
                <w:color w:val="auto"/>
                <w:kern w:val="2"/>
                <w:sz w:val="21"/>
                <w:szCs w:val="21"/>
              </w:rPr>
            </w:pPr>
          </w:p>
        </w:tc>
        <w:tc>
          <w:tcPr>
            <w:tcW w:w="1736"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东莞市公安消防局大岭山大队</w:t>
            </w:r>
            <w:r>
              <w:rPr>
                <w:rFonts w:hint="eastAsia" w:ascii="宋体" w:hAnsi="宋体" w:eastAsia="宋体" w:cs="宋体"/>
                <w:color w:val="auto"/>
                <w:kern w:val="2"/>
                <w:sz w:val="21"/>
                <w:szCs w:val="21"/>
              </w:rPr>
              <w:t>大岭山大队</w:t>
            </w:r>
          </w:p>
        </w:tc>
        <w:tc>
          <w:tcPr>
            <w:tcW w:w="1985"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东公岭消验字[2016]第0073号</w:t>
            </w:r>
          </w:p>
        </w:tc>
        <w:tc>
          <w:tcPr>
            <w:tcW w:w="1444" w:type="dxa"/>
            <w:noWrap w:val="0"/>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2016.10.26</w:t>
            </w:r>
          </w:p>
        </w:tc>
        <w:tc>
          <w:tcPr>
            <w:tcW w:w="2404" w:type="dxa"/>
            <w:noWrap w:val="0"/>
            <w:vAlign w:val="center"/>
          </w:tcPr>
          <w:p>
            <w:pPr>
              <w:keepNext w:val="0"/>
              <w:keepLines w:val="0"/>
              <w:suppressLineNumbers w:val="0"/>
              <w:spacing w:before="0" w:beforeAutospacing="0" w:after="0" w:afterAutospacing="0" w:line="280" w:lineRule="exact"/>
              <w:ind w:left="0" w:right="0"/>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厂房三(厂房B)、实验室</w:t>
            </w:r>
          </w:p>
        </w:tc>
        <w:tc>
          <w:tcPr>
            <w:tcW w:w="872" w:type="dxa"/>
            <w:vMerge w:val="continue"/>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color w:val="auto"/>
                <w:kern w:val="2"/>
                <w:sz w:val="21"/>
                <w:szCs w:val="21"/>
              </w:rPr>
            </w:pP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jc w:val="both"/>
        <w:textAlignment w:val="auto"/>
        <w:outlineLvl w:val="2"/>
        <w:rPr>
          <w:rFonts w:ascii="宋体" w:hAnsi="宋体" w:eastAsia="宋体" w:cs="Times New Roman"/>
          <w:b/>
          <w:bCs w:val="0"/>
          <w:color w:val="auto"/>
          <w:kern w:val="2"/>
          <w:sz w:val="28"/>
          <w:szCs w:val="28"/>
          <w:lang w:val="en-US" w:eastAsia="zh-CN" w:bidi="ar-SA"/>
        </w:rPr>
      </w:pPr>
      <w:bookmarkStart w:id="27" w:name="bookmark24"/>
      <w:r>
        <w:rPr>
          <w:rFonts w:ascii="宋体" w:hAnsi="宋体" w:eastAsia="宋体" w:cs="Times New Roman"/>
          <w:b/>
          <w:bCs w:val="0"/>
          <w:color w:val="auto"/>
          <w:kern w:val="2"/>
          <w:sz w:val="28"/>
          <w:szCs w:val="28"/>
          <w:lang w:val="en-US" w:eastAsia="zh-CN" w:bidi="ar-SA"/>
        </w:rPr>
        <w:t>2.3.4防雷防静电设施</w:t>
      </w:r>
      <w:bookmarkEnd w:id="27"/>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该项目的防雷、防静电设置主要有：</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厂房四（厂房C）、库房一(仓库A)属二类防雷建筑物，其他建筑物(消防泵房、配电房等)为三类防雷建筑物，该项目所有建筑物均按第二类防雷建筑物设计，在屋面装设避雷带，屋角、屋脊装设避雷短针，避雷使用避雷带相互连接，经防雷引下线(柱内钢筋)与接地装置(基础接地体)焊接联通。</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2)防雷引下线(柱内钢筋)围绕建筑物设置，间距小于18m，在各防雷引下线上距室外地坪+0.4m和-0.5m处预埋40×4的镀锌扁钢，伸出柱外50m和100m，用作等电位连接、测量接地电阻及连接人工接地装置用。</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3)接地装置利用地梁及承台基础钢筋作接地体，利用柱内钢筋(两对角主钢筋，钢筋直径≥10mm)作防雷引下线；作防雷引下线的柱内钢筋经焊接构成电气通路。</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4)作接地装置的基础钢筋，连接处采用焊接，并在焊接处做防腐处理。</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5)建筑物内的设别、管道、架构(包括门窗)等利用预留的引出接地线就近接地以防雷电感应；架空、埋地或地沟内的金属管道、电缆的金属外皮等在入室端接地以防雷电波侵入。</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6)在屋面接闪器保护范围之外的非金属物体装接闪器，并和屋面防雷装置相连。</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7)在电源引入的总配电箱处装设过电压保护器。</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8)防雷接地、防静电接地、电气保护接地采用共用的接地装置，并将厂区内各建筑物的接地装置连接成一体，其接地电阻小于4。</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9)在厂房四（厂房C）内设接地干线，每一接地干线与接地装置的连接不少于2处，车间内的移动设备均利用接地干线接地。</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10)在库房一(仓库A)及厂房四（厂房C）的入口处均设置有人体静电消除器。</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11)消防管线等金属物均接地，配电线路的保护金属管采用两端接地，中间驳接处用铜线跨接。</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项目对分别对办公楼、宿舍、库房二(仓库B)、厂房三(厂房B)和库房一(仓库A)、厂房四（厂房C）进行了防雷、防静装置定期检测，经广东省气象防灾技术服务中心检测合格，有防雷合格证和防雷装置定期检测报告。检测报告编号分别为：粤雷检[2020]YFS-2-2953和粤雷检</w:t>
      </w:r>
      <w:r>
        <w:rPr>
          <w:rFonts w:hint="eastAsia" w:ascii="宋体" w:hAnsi="宋体" w:eastAsia="宋体"/>
          <w:color w:val="auto"/>
          <w:sz w:val="28"/>
          <w:szCs w:val="28"/>
          <w:lang w:val="en-US" w:eastAsia="zh-CN"/>
        </w:rPr>
        <w:t>[2020]YFS-4-2950号；库房一(仓库A)、库房四</w:t>
      </w:r>
      <w:r>
        <w:rPr>
          <w:rFonts w:hint="eastAsia" w:ascii="宋体" w:hAnsi="宋体" w:eastAsia="宋体"/>
          <w:color w:val="auto"/>
          <w:sz w:val="28"/>
          <w:szCs w:val="28"/>
          <w:lang w:eastAsia="zh-CN"/>
        </w:rPr>
        <w:t>防雷检测合格证编号为粤雷检</w:t>
      </w:r>
      <w:r>
        <w:rPr>
          <w:rFonts w:hint="eastAsia" w:ascii="宋体" w:hAnsi="宋体" w:eastAsia="宋体"/>
          <w:color w:val="auto"/>
          <w:sz w:val="28"/>
          <w:szCs w:val="28"/>
          <w:lang w:val="en-US" w:eastAsia="zh-CN"/>
        </w:rPr>
        <w:t>[2020]YFS-2-2953，下次检测时间为</w:t>
      </w:r>
      <w:r>
        <w:rPr>
          <w:rFonts w:hint="eastAsia" w:ascii="宋体" w:hAnsi="宋体" w:eastAsia="宋体"/>
          <w:color w:val="auto"/>
          <w:sz w:val="28"/>
          <w:szCs w:val="28"/>
          <w:lang w:eastAsia="zh-CN"/>
        </w:rPr>
        <w:t>202</w:t>
      </w:r>
      <w:r>
        <w:rPr>
          <w:rFonts w:hint="eastAsia" w:ascii="宋体" w:hAnsi="宋体" w:eastAsia="宋体"/>
          <w:color w:val="auto"/>
          <w:sz w:val="28"/>
          <w:szCs w:val="28"/>
          <w:lang w:val="en-US" w:eastAsia="zh-CN"/>
        </w:rPr>
        <w:t>1</w:t>
      </w:r>
      <w:r>
        <w:rPr>
          <w:rFonts w:hint="eastAsia" w:ascii="宋体" w:hAnsi="宋体" w:eastAsia="宋体"/>
          <w:color w:val="auto"/>
          <w:sz w:val="28"/>
          <w:szCs w:val="28"/>
          <w:lang w:eastAsia="zh-CN"/>
        </w:rPr>
        <w:t>年06月</w:t>
      </w:r>
      <w:r>
        <w:rPr>
          <w:rFonts w:hint="eastAsia" w:ascii="宋体" w:hAnsi="宋体" w:eastAsia="宋体"/>
          <w:color w:val="auto"/>
          <w:sz w:val="28"/>
          <w:szCs w:val="28"/>
          <w:lang w:val="en-US" w:eastAsia="zh-CN"/>
        </w:rPr>
        <w:t>1</w:t>
      </w:r>
      <w:r>
        <w:rPr>
          <w:rFonts w:hint="eastAsia" w:ascii="宋体" w:hAnsi="宋体" w:eastAsia="宋体"/>
          <w:color w:val="auto"/>
          <w:sz w:val="28"/>
          <w:szCs w:val="28"/>
          <w:lang w:eastAsia="zh-CN"/>
        </w:rPr>
        <w:t>4日之前。</w:t>
      </w:r>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2.3.</w:t>
      </w:r>
      <w:r>
        <w:rPr>
          <w:rFonts w:hint="eastAsia" w:ascii="宋体" w:hAnsi="宋体" w:eastAsia="宋体" w:cs="Times New Roman"/>
          <w:b/>
          <w:bCs w:val="0"/>
          <w:color w:val="auto"/>
          <w:kern w:val="2"/>
          <w:sz w:val="28"/>
          <w:szCs w:val="28"/>
          <w:lang w:val="en-US" w:eastAsia="zh-CN" w:bidi="ar-SA"/>
        </w:rPr>
        <w:t>5供气</w:t>
      </w:r>
    </w:p>
    <w:p>
      <w:pPr>
        <w:spacing w:line="360" w:lineRule="auto"/>
        <w:ind w:firstLine="425" w:firstLineChars="152"/>
        <w:jc w:val="both"/>
        <w:rPr>
          <w:rFonts w:hint="eastAsia" w:ascii="宋体" w:hAnsi="宋体" w:eastAsia="宋体"/>
          <w:color w:val="auto"/>
          <w:sz w:val="28"/>
          <w:szCs w:val="28"/>
          <w:lang w:val="en-US" w:eastAsia="zh-CN"/>
        </w:rPr>
      </w:pPr>
      <w:r>
        <w:rPr>
          <w:rFonts w:hint="eastAsia" w:ascii="宋体" w:hAnsi="宋体" w:eastAsia="宋体"/>
          <w:color w:val="auto"/>
          <w:sz w:val="28"/>
          <w:szCs w:val="28"/>
          <w:lang w:eastAsia="zh-CN"/>
        </w:rPr>
        <w:t>生产车间使用气动隔膜泵，公司设置有一台30P的压缩空气螺杆机用于供气。</w:t>
      </w:r>
    </w:p>
    <w:p>
      <w:pPr>
        <w:spacing w:line="360" w:lineRule="auto"/>
        <w:jc w:val="both"/>
        <w:outlineLvl w:val="2"/>
        <w:rPr>
          <w:rFonts w:hint="eastAsia"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2.3.</w:t>
      </w:r>
      <w:r>
        <w:rPr>
          <w:rFonts w:hint="eastAsia" w:ascii="宋体" w:hAnsi="宋体" w:eastAsia="宋体" w:cs="Times New Roman"/>
          <w:b/>
          <w:bCs w:val="0"/>
          <w:color w:val="auto"/>
          <w:kern w:val="2"/>
          <w:sz w:val="28"/>
          <w:szCs w:val="28"/>
          <w:lang w:val="en-US" w:eastAsia="zh-CN" w:bidi="ar-SA"/>
        </w:rPr>
        <w:t>6清净下水</w:t>
      </w:r>
    </w:p>
    <w:p>
      <w:pPr>
        <w:spacing w:line="360" w:lineRule="auto"/>
        <w:ind w:firstLine="425" w:firstLineChars="152"/>
        <w:jc w:val="both"/>
        <w:rPr>
          <w:rFonts w:hint="eastAsia" w:ascii="宋体" w:hAnsi="宋体" w:eastAsia="宋体"/>
          <w:color w:val="auto"/>
          <w:sz w:val="28"/>
          <w:szCs w:val="28"/>
          <w:lang w:val="en-US" w:eastAsia="zh-CN"/>
        </w:rPr>
      </w:pPr>
      <w:r>
        <w:rPr>
          <w:rFonts w:hint="eastAsia" w:ascii="宋体" w:hAnsi="宋体" w:eastAsia="宋体"/>
          <w:color w:val="auto"/>
          <w:sz w:val="28"/>
          <w:szCs w:val="28"/>
          <w:lang w:eastAsia="zh-CN"/>
        </w:rPr>
        <w:t>该公司厂区内设置1座地下事故应急池，作为厂区事故状态下“清净下水”的收集设施，容积为200m³。收集的泄漏物料或消防用水委托有资质的单位进行处理。</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28" w:name="_Toc16495"/>
      <w:bookmarkStart w:id="29" w:name="bookmark26"/>
      <w:r>
        <w:rPr>
          <w:rFonts w:ascii="楷体_GB2312" w:hAnsi="Times New Roman" w:eastAsia="楷体_GB2312" w:cs="Times New Roman"/>
          <w:b/>
          <w:bCs w:val="0"/>
          <w:color w:val="auto"/>
          <w:kern w:val="2"/>
          <w:sz w:val="32"/>
          <w:lang w:val="en-US" w:eastAsia="zh-CN" w:bidi="ar-SA"/>
        </w:rPr>
        <w:t>2.4主要安全卫生设施及技术措施</w:t>
      </w:r>
      <w:bookmarkEnd w:id="28"/>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2.4.1工艺、设备方面的安全设施</w:t>
      </w:r>
      <w:bookmarkEnd w:id="29"/>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该公司危险化学品生产的工艺、设备方面的安全设施如下：</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lang w:eastAsia="zh-CN"/>
        </w:rPr>
        <w:t>旋转设备主要是各类电机，电机的旋转构件有外壳和护罩保护。</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lang w:eastAsia="zh-CN"/>
        </w:rPr>
        <w:t>设备可被人员接触到的部分及其零部件无易伤人的锐角、利棱。</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ascii="宋体" w:hAnsi="宋体" w:eastAsia="宋体"/>
          <w:color w:val="auto"/>
          <w:sz w:val="28"/>
          <w:szCs w:val="28"/>
          <w:lang w:eastAsia="zh-CN"/>
        </w:rPr>
        <w:t>生产区、储存场所的各种走道、通道有符合国家规范要求的净宽、净空高度，不易发生夹击和碰撞伤害。</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hint="eastAsia" w:ascii="宋体" w:hAnsi="宋体" w:eastAsia="宋体"/>
          <w:color w:val="auto"/>
          <w:sz w:val="28"/>
          <w:szCs w:val="28"/>
        </w:rPr>
        <w:t>)</w:t>
      </w:r>
      <w:r>
        <w:rPr>
          <w:rFonts w:ascii="宋体" w:hAnsi="宋体" w:eastAsia="宋体"/>
          <w:color w:val="auto"/>
          <w:sz w:val="28"/>
          <w:szCs w:val="28"/>
          <w:lang w:eastAsia="zh-CN"/>
        </w:rPr>
        <w:t>该公司在</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等易燃易爆场所设置了可燃气体检测报警仪，探头安装位置离地面约</w:t>
      </w:r>
      <w:r>
        <w:rPr>
          <w:rFonts w:hint="eastAsia" w:ascii="宋体" w:hAnsi="宋体" w:eastAsia="宋体"/>
          <w:color w:val="auto"/>
          <w:sz w:val="28"/>
          <w:szCs w:val="28"/>
          <w:lang w:eastAsia="zh-CN"/>
        </w:rPr>
        <w:t>5</w:t>
      </w:r>
      <w:r>
        <w:rPr>
          <w:rFonts w:ascii="宋体" w:hAnsi="宋体" w:eastAsia="宋体"/>
          <w:color w:val="auto"/>
          <w:sz w:val="28"/>
          <w:szCs w:val="28"/>
          <w:lang w:eastAsia="zh-CN"/>
        </w:rPr>
        <w:t>0cm，可燃气体报警仪有效覆盖水平平面半径在</w:t>
      </w:r>
      <w:r>
        <w:rPr>
          <w:rFonts w:hint="eastAsia" w:ascii="宋体" w:hAnsi="宋体" w:eastAsia="宋体"/>
          <w:color w:val="auto"/>
          <w:sz w:val="28"/>
          <w:szCs w:val="28"/>
          <w:lang w:eastAsia="zh-CN"/>
        </w:rPr>
        <w:t>5</w:t>
      </w:r>
      <w:r>
        <w:rPr>
          <w:rFonts w:ascii="宋体" w:hAnsi="宋体" w:eastAsia="宋体"/>
          <w:color w:val="auto"/>
          <w:sz w:val="28"/>
          <w:szCs w:val="28"/>
          <w:lang w:eastAsia="zh-CN"/>
        </w:rPr>
        <w:t>m范围内，可有效对可燃气体泄漏报警。</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hint="eastAsia" w:ascii="宋体" w:hAnsi="宋体" w:eastAsia="宋体"/>
          <w:color w:val="auto"/>
          <w:sz w:val="28"/>
          <w:szCs w:val="28"/>
        </w:rPr>
        <w:t>)</w:t>
      </w:r>
      <w:r>
        <w:rPr>
          <w:rFonts w:ascii="宋体" w:hAnsi="宋体" w:eastAsia="宋体"/>
          <w:color w:val="auto"/>
          <w:sz w:val="28"/>
          <w:szCs w:val="28"/>
          <w:lang w:eastAsia="zh-CN"/>
        </w:rPr>
        <w:t>在车间、仓库等危险场所设置了“禁止烟火”、“禁止吸烟”等安全</w:t>
      </w:r>
      <w:r>
        <w:rPr>
          <w:rFonts w:hint="eastAsia" w:ascii="宋体" w:hAnsi="宋体" w:eastAsia="宋体"/>
          <w:color w:val="auto"/>
          <w:sz w:val="28"/>
          <w:szCs w:val="28"/>
          <w:lang w:eastAsia="zh-CN"/>
        </w:rPr>
        <w:t>标志以及物料、产品的安全周知卡</w:t>
      </w:r>
      <w:r>
        <w:rPr>
          <w:rFonts w:ascii="宋体" w:hAnsi="宋体" w:eastAsia="宋体"/>
          <w:color w:val="auto"/>
          <w:sz w:val="28"/>
          <w:szCs w:val="28"/>
          <w:lang w:eastAsia="zh-CN"/>
        </w:rPr>
        <w:t>。</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hint="eastAsia" w:ascii="宋体" w:hAnsi="宋体" w:eastAsia="宋体"/>
          <w:color w:val="auto"/>
          <w:sz w:val="28"/>
          <w:szCs w:val="28"/>
        </w:rPr>
        <w:t>)</w:t>
      </w:r>
      <w:r>
        <w:rPr>
          <w:rFonts w:ascii="宋体" w:hAnsi="宋体" w:eastAsia="宋体"/>
          <w:color w:val="auto"/>
          <w:sz w:val="28"/>
          <w:szCs w:val="28"/>
          <w:lang w:eastAsia="zh-CN"/>
        </w:rPr>
        <w:t>在</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门外设置了洗眼器、喷淋装置等应急设施。</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hint="eastAsia" w:ascii="宋体" w:hAnsi="宋体" w:eastAsia="宋体"/>
          <w:color w:val="auto"/>
          <w:sz w:val="28"/>
          <w:szCs w:val="28"/>
        </w:rPr>
        <w:t>)</w:t>
      </w:r>
      <w:r>
        <w:rPr>
          <w:rFonts w:ascii="宋体" w:hAnsi="宋体" w:eastAsia="宋体"/>
          <w:color w:val="auto"/>
          <w:sz w:val="28"/>
          <w:szCs w:val="28"/>
          <w:lang w:eastAsia="zh-CN"/>
        </w:rPr>
        <w:t>在</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入口处设置了人体静电消除装置。</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8</w:t>
      </w:r>
      <w:r>
        <w:rPr>
          <w:rFonts w:hint="eastAsia" w:ascii="宋体" w:hAnsi="宋体" w:eastAsia="宋体"/>
          <w:color w:val="auto"/>
          <w:sz w:val="28"/>
          <w:szCs w:val="28"/>
        </w:rPr>
        <w:t>)</w:t>
      </w:r>
      <w:r>
        <w:rPr>
          <w:rFonts w:ascii="宋体" w:hAnsi="宋体" w:eastAsia="宋体"/>
          <w:color w:val="auto"/>
          <w:sz w:val="28"/>
          <w:szCs w:val="28"/>
          <w:lang w:eastAsia="zh-CN"/>
        </w:rPr>
        <w:t>生产区、储存场所的各种走道、通道有符合国家规范要求的净宽、净空高度，不易发生夹击和碰撞伤害。</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30" w:name="bookmark27"/>
      <w:r>
        <w:rPr>
          <w:rFonts w:ascii="宋体" w:hAnsi="宋体" w:eastAsia="宋体" w:cs="Times New Roman"/>
          <w:b/>
          <w:bCs w:val="0"/>
          <w:color w:val="auto"/>
          <w:kern w:val="2"/>
          <w:sz w:val="28"/>
          <w:szCs w:val="28"/>
          <w:lang w:val="en-US" w:eastAsia="zh-CN" w:bidi="ar-SA"/>
        </w:rPr>
        <w:t>2.4.2作业场所防爆线路、电机、照明灯具等的防爆等级</w:t>
      </w:r>
      <w:bookmarkEnd w:id="30"/>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lang w:eastAsia="zh-CN"/>
        </w:rPr>
        <w:t>各建筑物内爆炸危险区域内的配电设备均按规范规定采用防爆型，防爆等级不低于E</w:t>
      </w:r>
      <w:r>
        <w:rPr>
          <w:rFonts w:hint="eastAsia" w:ascii="宋体" w:hAnsi="宋体" w:eastAsia="宋体"/>
          <w:color w:val="auto"/>
          <w:sz w:val="28"/>
          <w:szCs w:val="28"/>
          <w:vertAlign w:val="subscript"/>
          <w:lang w:eastAsia="zh-CN"/>
        </w:rPr>
        <w:t>x</w:t>
      </w:r>
      <w:r>
        <w:rPr>
          <w:rFonts w:ascii="宋体" w:hAnsi="宋体" w:eastAsia="宋体"/>
          <w:color w:val="auto"/>
          <w:sz w:val="28"/>
          <w:szCs w:val="28"/>
          <w:lang w:eastAsia="zh-CN"/>
        </w:rPr>
        <w:t>dIIBT4。</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及</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内的照明采用防爆灯，开关均为防爆开关。</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内的通风采用的是防爆排风扇。</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hint="eastAsia" w:ascii="宋体" w:hAnsi="宋体" w:eastAsia="宋体"/>
          <w:color w:val="auto"/>
          <w:sz w:val="28"/>
          <w:szCs w:val="28"/>
        </w:rPr>
        <w:t>)</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及</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内设置有相应的防爆型疏散指示灯以备事故状态下的紧急疏散用。</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hint="eastAsia" w:ascii="宋体" w:hAnsi="宋体" w:eastAsia="宋体"/>
          <w:color w:val="auto"/>
          <w:sz w:val="28"/>
          <w:szCs w:val="28"/>
        </w:rPr>
        <w:t>)</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及</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内的电气线路均穿钢管保护，管线交接处采用防爆接线盒。</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综上所述，电气设备的设置符合《爆炸危险环境电力装置设计规范》(GB50058-2014)标准中的相关规定要求。</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31" w:name="bookmark28"/>
      <w:r>
        <w:rPr>
          <w:rFonts w:ascii="宋体" w:hAnsi="宋体" w:eastAsia="宋体" w:cs="Times New Roman"/>
          <w:b/>
          <w:bCs w:val="0"/>
          <w:color w:val="auto"/>
          <w:kern w:val="2"/>
          <w:sz w:val="28"/>
          <w:szCs w:val="28"/>
          <w:lang w:val="en-US" w:eastAsia="zh-CN" w:bidi="ar-SA"/>
        </w:rPr>
        <w:t>2.4.3可燃气体检测报警的安装和布防情况。</w:t>
      </w:r>
      <w:bookmarkEnd w:id="31"/>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该项目在</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及</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内均设置有可燃气体检测报警装置，对可燃气体泄漏状况进行监控及报警，当现场可燃气体体浓度超限时，报警控制器进行报警，相关人员可及时进行处理，确保整个厂区的生产、生</w:t>
      </w:r>
      <w:bookmarkStart w:id="32" w:name="bookmark29"/>
      <w:r>
        <w:rPr>
          <w:rFonts w:ascii="宋体" w:hAnsi="宋体" w:eastAsia="宋体"/>
          <w:color w:val="auto"/>
          <w:sz w:val="28"/>
          <w:szCs w:val="28"/>
          <w:lang w:eastAsia="zh-CN"/>
        </w:rPr>
        <w:t>活安全，该项目可燃气体报警装置的设置高度、位置及数量符合《石油化工可燃气体和有毒气体检测报警设计标准》(GB50493-2019)的要求，可燃气体浓度报警控制器设在</w:t>
      </w:r>
      <w:r>
        <w:rPr>
          <w:rFonts w:hint="eastAsia" w:ascii="宋体" w:hAnsi="宋体" w:eastAsia="宋体"/>
          <w:color w:val="auto"/>
          <w:sz w:val="28"/>
          <w:szCs w:val="28"/>
          <w:lang w:eastAsia="zh-CN"/>
        </w:rPr>
        <w:t>保安</w:t>
      </w:r>
      <w:r>
        <w:rPr>
          <w:rFonts w:ascii="宋体" w:hAnsi="宋体" w:eastAsia="宋体"/>
          <w:color w:val="auto"/>
          <w:sz w:val="28"/>
          <w:szCs w:val="28"/>
          <w:lang w:eastAsia="zh-CN"/>
        </w:rPr>
        <w:t>室内。</w:t>
      </w:r>
      <w:bookmarkEnd w:id="32"/>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33" w:name="bookmark30"/>
      <w:r>
        <w:rPr>
          <w:rFonts w:ascii="宋体" w:hAnsi="宋体" w:eastAsia="宋体" w:cs="Times New Roman"/>
          <w:b/>
          <w:bCs w:val="0"/>
          <w:color w:val="auto"/>
          <w:kern w:val="2"/>
          <w:sz w:val="28"/>
          <w:szCs w:val="28"/>
          <w:lang w:val="en-US" w:eastAsia="zh-CN" w:bidi="ar-SA"/>
        </w:rPr>
        <w:t>2.4.4通风设施</w:t>
      </w:r>
      <w:bookmarkEnd w:id="33"/>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企业车间内部安装</w:t>
      </w:r>
      <w:r>
        <w:rPr>
          <w:rFonts w:hint="eastAsia" w:ascii="宋体" w:hAnsi="宋体" w:eastAsia="宋体"/>
          <w:color w:val="auto"/>
          <w:sz w:val="28"/>
          <w:szCs w:val="28"/>
          <w:lang w:eastAsia="zh-CN"/>
        </w:rPr>
        <w:t>局部</w:t>
      </w:r>
      <w:r>
        <w:rPr>
          <w:rFonts w:ascii="宋体" w:hAnsi="宋体" w:eastAsia="宋体"/>
          <w:color w:val="auto"/>
          <w:sz w:val="28"/>
          <w:szCs w:val="28"/>
          <w:lang w:eastAsia="zh-CN"/>
        </w:rPr>
        <w:t>机械排风，对生产过程中挥发有毒有害物质，采用通风排毒方式，排除生产过程中的有害气体，并为作业人员配备防毒口罩、防毒面具等劳动防护用品，防止人员中毒和窒息。</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34" w:name="bookmark32"/>
      <w:r>
        <w:rPr>
          <w:rFonts w:ascii="宋体" w:hAnsi="宋体" w:eastAsia="宋体" w:cs="Times New Roman"/>
          <w:b/>
          <w:bCs w:val="0"/>
          <w:color w:val="auto"/>
          <w:kern w:val="2"/>
          <w:sz w:val="28"/>
          <w:szCs w:val="28"/>
          <w:lang w:val="en-US" w:eastAsia="zh-CN" w:bidi="ar-SA"/>
        </w:rPr>
        <w:t>2.4.</w:t>
      </w:r>
      <w:r>
        <w:rPr>
          <w:rFonts w:hint="eastAsia" w:ascii="宋体" w:hAnsi="宋体" w:eastAsia="宋体" w:cs="Times New Roman"/>
          <w:b/>
          <w:bCs w:val="0"/>
          <w:color w:val="auto"/>
          <w:kern w:val="2"/>
          <w:sz w:val="28"/>
          <w:szCs w:val="28"/>
          <w:lang w:val="en-US" w:eastAsia="zh-CN" w:bidi="ar-SA"/>
        </w:rPr>
        <w:t>5</w:t>
      </w:r>
      <w:r>
        <w:rPr>
          <w:rFonts w:ascii="宋体" w:hAnsi="宋体" w:eastAsia="宋体" w:cs="Times New Roman"/>
          <w:b/>
          <w:bCs w:val="0"/>
          <w:color w:val="auto"/>
          <w:kern w:val="2"/>
          <w:sz w:val="28"/>
          <w:szCs w:val="28"/>
          <w:lang w:val="en-US" w:eastAsia="zh-CN" w:bidi="ar-SA"/>
        </w:rPr>
        <w:t>用品情况</w:t>
      </w:r>
      <w:bookmarkEnd w:id="34"/>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该公司所有员工均配备有劳动保护用品，从事危险化学品生产的员工配备有与自己岗位相适应的防护用品。如手套、防毒口罩、防毒面具、防护服、防护罩等。</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35" w:name="bookmark33"/>
      <w:r>
        <w:rPr>
          <w:rFonts w:ascii="宋体" w:hAnsi="宋体" w:eastAsia="宋体" w:cs="Times New Roman"/>
          <w:b/>
          <w:bCs w:val="0"/>
          <w:color w:val="auto"/>
          <w:kern w:val="2"/>
          <w:sz w:val="28"/>
          <w:szCs w:val="28"/>
          <w:lang w:val="en-US" w:eastAsia="zh-CN" w:bidi="ar-SA"/>
        </w:rPr>
        <w:t>2.4.</w:t>
      </w:r>
      <w:r>
        <w:rPr>
          <w:rFonts w:hint="eastAsia" w:ascii="宋体" w:hAnsi="宋体" w:eastAsia="宋体" w:cs="Times New Roman"/>
          <w:b/>
          <w:bCs w:val="0"/>
          <w:color w:val="auto"/>
          <w:kern w:val="2"/>
          <w:sz w:val="28"/>
          <w:szCs w:val="28"/>
          <w:lang w:val="en-US" w:eastAsia="zh-CN" w:bidi="ar-SA"/>
        </w:rPr>
        <w:t>6</w:t>
      </w:r>
      <w:r>
        <w:rPr>
          <w:rFonts w:ascii="宋体" w:hAnsi="宋体" w:eastAsia="宋体" w:cs="Times New Roman"/>
          <w:b/>
          <w:bCs w:val="0"/>
          <w:color w:val="auto"/>
          <w:kern w:val="2"/>
          <w:sz w:val="28"/>
          <w:szCs w:val="28"/>
          <w:lang w:val="en-US" w:eastAsia="zh-CN" w:bidi="ar-SA"/>
        </w:rPr>
        <w:t>他安全设施的设置情况</w:t>
      </w:r>
      <w:bookmarkEnd w:id="35"/>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lang w:eastAsia="zh-CN"/>
        </w:rPr>
        <w:t>有危险作业的地方张贴有各种警示标识，如在储存、生产车间设置有“严禁烟火”，在变配电房设置“</w:t>
      </w:r>
      <w:r>
        <w:rPr>
          <w:rFonts w:hint="eastAsia" w:ascii="宋体" w:hAnsi="宋体" w:eastAsia="宋体"/>
          <w:color w:val="auto"/>
          <w:sz w:val="28"/>
          <w:szCs w:val="28"/>
          <w:lang w:eastAsia="zh-CN"/>
        </w:rPr>
        <w:t>当心触电</w:t>
      </w:r>
      <w:r>
        <w:rPr>
          <w:rFonts w:ascii="宋体" w:hAnsi="宋体" w:eastAsia="宋体"/>
          <w:color w:val="auto"/>
          <w:sz w:val="28"/>
          <w:szCs w:val="28"/>
          <w:lang w:eastAsia="zh-CN"/>
        </w:rPr>
        <w:t>”等警示标志。</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lang w:eastAsia="zh-CN"/>
        </w:rPr>
        <w:t>事故应急池周边安装有防护栏杆，消防水池四周设置有防护堤。</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ascii="宋体" w:hAnsi="宋体" w:eastAsia="宋体"/>
          <w:color w:val="auto"/>
          <w:sz w:val="28"/>
          <w:szCs w:val="28"/>
          <w:lang w:eastAsia="zh-CN"/>
        </w:rPr>
        <w:t>变配电房设置有挡鼠板、窗户设置有防鼠网。</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hint="eastAsia" w:ascii="宋体" w:hAnsi="宋体" w:eastAsia="宋体"/>
          <w:color w:val="auto"/>
          <w:sz w:val="28"/>
          <w:szCs w:val="28"/>
        </w:rPr>
        <w:t>)</w:t>
      </w:r>
      <w:r>
        <w:rPr>
          <w:rFonts w:hint="eastAsia" w:ascii="宋体" w:hAnsi="宋体" w:eastAsia="宋体"/>
          <w:color w:val="auto"/>
          <w:sz w:val="28"/>
          <w:szCs w:val="28"/>
          <w:lang w:eastAsia="zh-CN"/>
        </w:rPr>
        <w:t>库房一(仓库A)、厂房四（厂房C）</w:t>
      </w:r>
      <w:r>
        <w:rPr>
          <w:rFonts w:ascii="宋体" w:hAnsi="宋体" w:eastAsia="宋体"/>
          <w:color w:val="auto"/>
          <w:sz w:val="28"/>
          <w:szCs w:val="28"/>
          <w:lang w:eastAsia="zh-CN"/>
        </w:rPr>
        <w:t>每个防火隔间均设置有2个安全出口。</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hint="eastAsia" w:ascii="宋体" w:hAnsi="宋体" w:eastAsia="宋体"/>
          <w:color w:val="auto"/>
          <w:sz w:val="28"/>
          <w:szCs w:val="28"/>
        </w:rPr>
        <w:t>)</w:t>
      </w:r>
      <w:r>
        <w:rPr>
          <w:rFonts w:ascii="宋体" w:hAnsi="宋体" w:eastAsia="宋体"/>
          <w:color w:val="auto"/>
          <w:sz w:val="28"/>
          <w:szCs w:val="28"/>
          <w:lang w:eastAsia="zh-CN"/>
        </w:rPr>
        <w:t>配置了泄漏物收集的消防沙、铲子等器材。</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36" w:name="_Toc6869"/>
      <w:r>
        <w:rPr>
          <w:rFonts w:ascii="楷体_GB2312" w:hAnsi="Times New Roman" w:eastAsia="楷体_GB2312" w:cs="Times New Roman"/>
          <w:b/>
          <w:bCs w:val="0"/>
          <w:color w:val="auto"/>
          <w:kern w:val="2"/>
          <w:sz w:val="32"/>
          <w:lang w:val="en-US" w:eastAsia="zh-CN" w:bidi="ar-SA"/>
        </w:rPr>
        <w:t>2.</w:t>
      </w:r>
      <w:r>
        <w:rPr>
          <w:rFonts w:hint="eastAsia" w:ascii="楷体_GB2312" w:hAnsi="Times New Roman" w:eastAsia="楷体_GB2312" w:cs="Times New Roman"/>
          <w:b/>
          <w:bCs w:val="0"/>
          <w:color w:val="auto"/>
          <w:kern w:val="2"/>
          <w:sz w:val="32"/>
          <w:lang w:val="en-US" w:eastAsia="zh-CN" w:bidi="ar-SA"/>
        </w:rPr>
        <w:t>5安</w:t>
      </w:r>
      <w:r>
        <w:rPr>
          <w:rFonts w:ascii="楷体_GB2312" w:hAnsi="Times New Roman" w:eastAsia="楷体_GB2312" w:cs="Times New Roman"/>
          <w:b/>
          <w:bCs w:val="0"/>
          <w:color w:val="auto"/>
          <w:kern w:val="2"/>
          <w:sz w:val="32"/>
          <w:lang w:val="en-US" w:eastAsia="zh-CN" w:bidi="ar-SA"/>
        </w:rPr>
        <w:t>全管理概况</w:t>
      </w:r>
      <w:bookmarkEnd w:id="36"/>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东莞优诺电子焊接材料有限公司设置了安全生产管理机构，下设安全科，全面负责该公司的安全生产日常工作。优诺公司主要负责人、分管安全负责人、安全管理人员已参加安全生产监督管理部门安全生产培训，经考核合格，取得了相应的安全生产资格证，并每年进行再培训教育合格；配备有安全管理人员；主要负责人、安全管理人员均有正式任命书。</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优诺公司主要负责人、安全管理人员从事涂料生产工作3年以上，具有化工工作经历和化工专业知识，具备与其从事的生产活动相适应的安全生产知识和管理能力。专职安全管理人员黄爱红具备国民教育应用化学专业本科学历，符合要求。</w:t>
      </w:r>
    </w:p>
    <w:p>
      <w:pPr>
        <w:spacing w:line="360" w:lineRule="auto"/>
        <w:ind w:firstLine="425" w:firstLineChars="152"/>
        <w:jc w:val="both"/>
        <w:rPr>
          <w:rFonts w:hint="default" w:ascii="宋体" w:hAnsi="宋体" w:eastAsia="宋体"/>
          <w:color w:val="auto"/>
          <w:sz w:val="28"/>
          <w:szCs w:val="28"/>
          <w:lang w:val="en-US" w:eastAsia="zh-CN"/>
        </w:rPr>
      </w:pPr>
      <w:r>
        <w:rPr>
          <w:rFonts w:hint="eastAsia" w:ascii="宋体" w:hAnsi="宋体" w:eastAsia="宋体"/>
          <w:color w:val="auto"/>
          <w:sz w:val="28"/>
          <w:szCs w:val="28"/>
          <w:lang w:eastAsia="zh-CN"/>
        </w:rPr>
        <w:t>特种作业人员及其它从业人员经培训考核合格，持有相应的上岗资格证书。详见表</w:t>
      </w:r>
      <w:r>
        <w:rPr>
          <w:rFonts w:hint="eastAsia" w:ascii="宋体" w:hAnsi="宋体" w:eastAsia="宋体"/>
          <w:color w:val="auto"/>
          <w:sz w:val="28"/>
          <w:szCs w:val="28"/>
          <w:lang w:val="en-US" w:eastAsia="zh-CN"/>
        </w:rPr>
        <w:t>2-10</w:t>
      </w:r>
    </w:p>
    <w:p>
      <w:pPr>
        <w:tabs>
          <w:tab w:val="left" w:pos="1140"/>
        </w:tabs>
        <w:spacing w:line="600" w:lineRule="exact"/>
        <w:ind w:firstLine="482" w:firstLineChars="20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表2-10 主要负责人、安全管理人员安全培训证书</w:t>
      </w:r>
    </w:p>
    <w:tbl>
      <w:tblPr>
        <w:tblStyle w:val="46"/>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818"/>
        <w:gridCol w:w="2141"/>
        <w:gridCol w:w="1660"/>
        <w:gridCol w:w="1534"/>
        <w:gridCol w:w="1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32"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姓名</w:t>
            </w:r>
          </w:p>
        </w:tc>
        <w:tc>
          <w:tcPr>
            <w:tcW w:w="1818"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证书名称</w:t>
            </w:r>
          </w:p>
        </w:tc>
        <w:tc>
          <w:tcPr>
            <w:tcW w:w="2141"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证书编号</w:t>
            </w:r>
          </w:p>
        </w:tc>
        <w:tc>
          <w:tcPr>
            <w:tcW w:w="1660"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发证单位</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发证日期</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有效期限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白映月</w:t>
            </w:r>
          </w:p>
        </w:tc>
        <w:tc>
          <w:tcPr>
            <w:tcW w:w="1818"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危险化学品生产单位主要负责人</w:t>
            </w:r>
          </w:p>
        </w:tc>
        <w:tc>
          <w:tcPr>
            <w:tcW w:w="2141"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452122197211150107</w:t>
            </w:r>
          </w:p>
        </w:tc>
        <w:tc>
          <w:tcPr>
            <w:tcW w:w="1660"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应急管理局</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2014.02.28</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2023.07.28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eastAsia="zh-CN"/>
              </w:rPr>
            </w:pPr>
            <w:bookmarkStart w:id="37" w:name="_Hlk515968644"/>
            <w:r>
              <w:rPr>
                <w:rFonts w:hint="eastAsia" w:ascii="宋体" w:hAnsi="宋体" w:eastAsia="宋体" w:cs="宋体"/>
                <w:color w:val="auto"/>
                <w:kern w:val="2"/>
                <w:sz w:val="21"/>
                <w:szCs w:val="21"/>
                <w:lang w:val="en-GB" w:eastAsia="zh-CN"/>
              </w:rPr>
              <w:t>黄爱红</w:t>
            </w:r>
          </w:p>
        </w:tc>
        <w:tc>
          <w:tcPr>
            <w:tcW w:w="1818"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危险化学品生产单位安全生产管理人员</w:t>
            </w:r>
          </w:p>
        </w:tc>
        <w:tc>
          <w:tcPr>
            <w:tcW w:w="2141"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360732198411155849</w:t>
            </w:r>
          </w:p>
        </w:tc>
        <w:tc>
          <w:tcPr>
            <w:tcW w:w="1660"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原</w:t>
            </w:r>
            <w:r>
              <w:rPr>
                <w:rFonts w:hint="eastAsia" w:ascii="宋体" w:hAnsi="宋体" w:eastAsia="宋体" w:cs="宋体"/>
                <w:color w:val="auto"/>
                <w:kern w:val="2"/>
                <w:sz w:val="21"/>
                <w:szCs w:val="21"/>
              </w:rPr>
              <w:t>东莞市安全生产监督管理局</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2018.12.20</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2021.12.19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屈东方</w:t>
            </w:r>
          </w:p>
        </w:tc>
        <w:tc>
          <w:tcPr>
            <w:tcW w:w="181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注册安全工程师</w:t>
            </w:r>
          </w:p>
        </w:tc>
        <w:tc>
          <w:tcPr>
            <w:tcW w:w="2141"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430421198512181627</w:t>
            </w:r>
          </w:p>
        </w:tc>
        <w:tc>
          <w:tcPr>
            <w:tcW w:w="1660" w:type="dxa"/>
            <w:noWrap w:val="0"/>
            <w:vAlign w:val="center"/>
          </w:tcPr>
          <w:p>
            <w:pPr>
              <w:keepNext w:val="0"/>
              <w:keepLines w:val="0"/>
              <w:suppressLineNumbers w:val="0"/>
              <w:spacing w:before="0" w:beforeAutospacing="0" w:after="0" w:afterAutospacing="0" w:line="31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应急管理部</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2018.11.1</w:t>
            </w:r>
          </w:p>
        </w:tc>
        <w:tc>
          <w:tcPr>
            <w:tcW w:w="1534" w:type="dxa"/>
            <w:noWrap w:val="0"/>
            <w:vAlign w:val="center"/>
          </w:tcPr>
          <w:p>
            <w:pPr>
              <w:keepNext w:val="0"/>
              <w:keepLines w:val="0"/>
              <w:suppressLineNumbers w:val="0"/>
              <w:spacing w:before="0" w:beforeAutospacing="0" w:after="0" w:afterAutospacing="0" w:line="31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2021.10.31</w:t>
            </w:r>
          </w:p>
        </w:tc>
      </w:tr>
      <w:bookmarkEnd w:id="37"/>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425" w:firstLineChars="152"/>
        <w:jc w:val="both"/>
        <w:textAlignment w:val="auto"/>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特种作业人员经培训考核合格，持有相应的上岗资格证书，并定期进行年审，符合要求。</w:t>
      </w:r>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特种作业人员考核培训及上岗证书如下所示：</w:t>
      </w:r>
    </w:p>
    <w:p>
      <w:pPr>
        <w:spacing w:line="600" w:lineRule="exact"/>
        <w:jc w:val="center"/>
        <w:rPr>
          <w:rFonts w:hint="eastAsia" w:ascii="宋体" w:hAnsi="宋体" w:eastAsia="宋体" w:cs="宋体"/>
          <w:b/>
          <w:color w:val="auto"/>
          <w:sz w:val="28"/>
          <w:szCs w:val="28"/>
        </w:rPr>
      </w:pPr>
    </w:p>
    <w:p>
      <w:pPr>
        <w:spacing w:line="600" w:lineRule="exact"/>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表2-11 特种作业人员上岗证书汇总表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126"/>
        <w:gridCol w:w="2268"/>
        <w:gridCol w:w="1417"/>
        <w:gridCol w:w="2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姓名</w:t>
            </w:r>
          </w:p>
        </w:tc>
        <w:tc>
          <w:tcPr>
            <w:tcW w:w="2126"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作业类别</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证书编号</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有效期限</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严江涛</w:t>
            </w:r>
          </w:p>
        </w:tc>
        <w:tc>
          <w:tcPr>
            <w:tcW w:w="2126"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电工(低压电工作业)</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T422432196708173514</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2026.12.02</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谭声甲</w:t>
            </w:r>
          </w:p>
        </w:tc>
        <w:tc>
          <w:tcPr>
            <w:tcW w:w="2126"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叉车司机（</w:t>
            </w:r>
            <w:r>
              <w:rPr>
                <w:rFonts w:hint="eastAsia" w:ascii="宋体" w:hAnsi="宋体" w:eastAsia="宋体" w:cs="宋体"/>
                <w:color w:val="auto"/>
                <w:kern w:val="2"/>
                <w:sz w:val="21"/>
                <w:szCs w:val="21"/>
                <w:lang w:val="en-US" w:eastAsia="zh-CN"/>
              </w:rPr>
              <w:t>N2</w:t>
            </w:r>
            <w:r>
              <w:rPr>
                <w:rFonts w:hint="eastAsia" w:ascii="宋体" w:hAnsi="宋体" w:eastAsia="宋体" w:cs="宋体"/>
                <w:color w:val="auto"/>
                <w:kern w:val="2"/>
                <w:sz w:val="21"/>
                <w:szCs w:val="21"/>
                <w:lang w:eastAsia="zh-CN"/>
              </w:rPr>
              <w:t>）</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431025198407105635</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2023.04.03</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丁卫平</w:t>
            </w:r>
          </w:p>
        </w:tc>
        <w:tc>
          <w:tcPr>
            <w:tcW w:w="2126"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叉车司机（</w:t>
            </w:r>
            <w:r>
              <w:rPr>
                <w:rFonts w:hint="eastAsia" w:ascii="宋体" w:hAnsi="宋体" w:eastAsia="宋体" w:cs="宋体"/>
                <w:color w:val="auto"/>
                <w:kern w:val="2"/>
                <w:sz w:val="21"/>
                <w:szCs w:val="21"/>
                <w:lang w:val="en-US" w:eastAsia="zh-CN"/>
              </w:rPr>
              <w:t>N2</w:t>
            </w:r>
            <w:r>
              <w:rPr>
                <w:rFonts w:hint="eastAsia" w:ascii="宋体" w:hAnsi="宋体" w:eastAsia="宋体" w:cs="宋体"/>
                <w:color w:val="auto"/>
                <w:kern w:val="2"/>
                <w:sz w:val="21"/>
                <w:szCs w:val="21"/>
                <w:lang w:eastAsia="zh-CN"/>
              </w:rPr>
              <w:t>）</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362204198906077212</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2022.12.10</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东莞市质量技术监督局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邓湘武</w:t>
            </w:r>
          </w:p>
        </w:tc>
        <w:tc>
          <w:tcPr>
            <w:tcW w:w="21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叉车司机（</w:t>
            </w:r>
            <w:r>
              <w:rPr>
                <w:rFonts w:hint="eastAsia" w:ascii="宋体" w:hAnsi="宋体" w:eastAsia="宋体" w:cs="宋体"/>
                <w:color w:val="auto"/>
                <w:kern w:val="2"/>
                <w:sz w:val="21"/>
                <w:szCs w:val="21"/>
                <w:lang w:val="en-US" w:eastAsia="zh-CN"/>
              </w:rPr>
              <w:t>N2</w:t>
            </w:r>
            <w:r>
              <w:rPr>
                <w:rFonts w:hint="eastAsia" w:ascii="宋体" w:hAnsi="宋体" w:eastAsia="宋体" w:cs="宋体"/>
                <w:color w:val="auto"/>
                <w:kern w:val="2"/>
                <w:sz w:val="21"/>
                <w:szCs w:val="21"/>
                <w:lang w:eastAsia="zh-CN"/>
              </w:rPr>
              <w:t>）</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432827197708296415</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2022.12.11</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东莞市质量技术监督局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梁金堂</w:t>
            </w:r>
          </w:p>
        </w:tc>
        <w:tc>
          <w:tcPr>
            <w:tcW w:w="21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叉车司机（</w:t>
            </w:r>
            <w:r>
              <w:rPr>
                <w:rFonts w:hint="eastAsia" w:ascii="宋体" w:hAnsi="宋体" w:eastAsia="宋体" w:cs="宋体"/>
                <w:color w:val="auto"/>
                <w:kern w:val="2"/>
                <w:sz w:val="21"/>
                <w:szCs w:val="21"/>
                <w:lang w:val="en-US" w:eastAsia="zh-CN"/>
              </w:rPr>
              <w:t>N2</w:t>
            </w:r>
            <w:r>
              <w:rPr>
                <w:rFonts w:hint="eastAsia" w:ascii="宋体" w:hAnsi="宋体" w:eastAsia="宋体" w:cs="宋体"/>
                <w:color w:val="auto"/>
                <w:kern w:val="2"/>
                <w:sz w:val="21"/>
                <w:szCs w:val="21"/>
                <w:lang w:eastAsia="zh-CN"/>
              </w:rPr>
              <w:t>）</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452626198010254396</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2021.11.29</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东莞市质量技术监督局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1"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罗茂祯</w:t>
            </w:r>
          </w:p>
        </w:tc>
        <w:tc>
          <w:tcPr>
            <w:tcW w:w="212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叉车司机（</w:t>
            </w:r>
            <w:r>
              <w:rPr>
                <w:rFonts w:hint="eastAsia" w:ascii="宋体" w:hAnsi="宋体" w:eastAsia="宋体" w:cs="宋体"/>
                <w:color w:val="auto"/>
                <w:kern w:val="2"/>
                <w:sz w:val="21"/>
                <w:szCs w:val="21"/>
                <w:lang w:val="en-US" w:eastAsia="zh-CN"/>
              </w:rPr>
              <w:t>N2</w:t>
            </w:r>
            <w:r>
              <w:rPr>
                <w:rFonts w:hint="eastAsia" w:ascii="宋体" w:hAnsi="宋体" w:eastAsia="宋体" w:cs="宋体"/>
                <w:color w:val="auto"/>
                <w:kern w:val="2"/>
                <w:sz w:val="21"/>
                <w:szCs w:val="21"/>
                <w:lang w:eastAsia="zh-CN"/>
              </w:rPr>
              <w:t>）</w:t>
            </w:r>
          </w:p>
        </w:tc>
        <w:tc>
          <w:tcPr>
            <w:tcW w:w="226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350421197909256012</w:t>
            </w:r>
          </w:p>
        </w:tc>
        <w:tc>
          <w:tcPr>
            <w:tcW w:w="1417"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2021.11.29</w:t>
            </w:r>
          </w:p>
        </w:tc>
        <w:tc>
          <w:tcPr>
            <w:tcW w:w="2488" w:type="dxa"/>
            <w:noWrap w:val="0"/>
            <w:vAlign w:val="center"/>
          </w:tcPr>
          <w:p>
            <w:pPr>
              <w:keepNext w:val="0"/>
              <w:keepLines w:val="0"/>
              <w:suppressLineNumbers w:val="0"/>
              <w:tabs>
                <w:tab w:val="left" w:pos="1140"/>
              </w:tabs>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东莞市质量技术监督局</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560" w:firstLineChars="200"/>
        <w:jc w:val="both"/>
        <w:textAlignment w:val="auto"/>
        <w:rPr>
          <w:rFonts w:ascii="宋体" w:hAnsi="宋体" w:eastAsia="宋体"/>
          <w:color w:val="auto"/>
          <w:sz w:val="28"/>
          <w:szCs w:val="28"/>
          <w:lang w:eastAsia="zh-CN"/>
        </w:rPr>
      </w:pP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lang w:eastAsia="zh-CN"/>
        </w:rPr>
        <w:t>已建立了完善的安全责任制；制定了较为完善的安全管理制度；根据实际工作岗位情况，结合法律、法规和标准、规范制定了安全操作规程；根据自身实际情况，按照《生产经营单位生产安全事故应急预案编制导则》(GB/T29639-20</w:t>
      </w:r>
      <w:r>
        <w:rPr>
          <w:rFonts w:hint="eastAsia" w:ascii="宋体" w:hAnsi="宋体" w:eastAsia="宋体"/>
          <w:color w:val="auto"/>
          <w:sz w:val="28"/>
          <w:szCs w:val="28"/>
          <w:lang w:val="en-US" w:eastAsia="zh-CN"/>
        </w:rPr>
        <w:t>20</w:t>
      </w:r>
      <w:r>
        <w:rPr>
          <w:rFonts w:ascii="宋体" w:hAnsi="宋体" w:eastAsia="宋体"/>
          <w:color w:val="auto"/>
          <w:sz w:val="28"/>
          <w:szCs w:val="28"/>
          <w:lang w:eastAsia="zh-CN"/>
        </w:rPr>
        <w:t>)修改了原有的生产安全事故应急预案，完善了应急救援组织，并于20</w:t>
      </w:r>
      <w:r>
        <w:rPr>
          <w:rFonts w:hint="eastAsia" w:ascii="宋体" w:hAnsi="宋体" w:eastAsia="宋体"/>
          <w:color w:val="auto"/>
          <w:sz w:val="28"/>
          <w:szCs w:val="28"/>
          <w:lang w:val="en-US" w:eastAsia="zh-CN"/>
        </w:rPr>
        <w:t>21</w:t>
      </w:r>
      <w:r>
        <w:rPr>
          <w:rFonts w:ascii="宋体" w:hAnsi="宋体" w:eastAsia="宋体"/>
          <w:color w:val="auto"/>
          <w:sz w:val="28"/>
          <w:szCs w:val="28"/>
          <w:lang w:eastAsia="zh-CN"/>
        </w:rPr>
        <w:t>年</w:t>
      </w:r>
      <w:r>
        <w:rPr>
          <w:rFonts w:hint="eastAsia" w:ascii="宋体" w:hAnsi="宋体" w:eastAsia="宋体"/>
          <w:color w:val="auto"/>
          <w:sz w:val="28"/>
          <w:szCs w:val="28"/>
          <w:lang w:eastAsia="zh-CN"/>
        </w:rPr>
        <w:t>03</w:t>
      </w:r>
      <w:r>
        <w:rPr>
          <w:rFonts w:ascii="宋体" w:hAnsi="宋体" w:eastAsia="宋体"/>
          <w:color w:val="auto"/>
          <w:sz w:val="28"/>
          <w:szCs w:val="28"/>
          <w:lang w:eastAsia="zh-CN"/>
        </w:rPr>
        <w:t>月</w:t>
      </w:r>
      <w:r>
        <w:rPr>
          <w:rFonts w:hint="eastAsia" w:ascii="宋体" w:hAnsi="宋体" w:eastAsia="宋体"/>
          <w:color w:val="auto"/>
          <w:sz w:val="28"/>
          <w:szCs w:val="28"/>
          <w:lang w:val="en-US" w:eastAsia="zh-CN"/>
        </w:rPr>
        <w:t>19</w:t>
      </w:r>
      <w:r>
        <w:rPr>
          <w:rFonts w:ascii="宋体" w:hAnsi="宋体" w:eastAsia="宋体"/>
          <w:color w:val="auto"/>
          <w:sz w:val="28"/>
          <w:szCs w:val="28"/>
          <w:lang w:eastAsia="zh-CN"/>
        </w:rPr>
        <w:t>日经</w:t>
      </w:r>
      <w:r>
        <w:rPr>
          <w:rFonts w:hint="eastAsia" w:ascii="宋体" w:hAnsi="宋体" w:eastAsia="宋体"/>
          <w:color w:val="auto"/>
          <w:sz w:val="28"/>
          <w:szCs w:val="28"/>
          <w:lang w:eastAsia="zh-CN"/>
        </w:rPr>
        <w:t>东莞市应急管理局备案，备案编号：441900-2021-0060</w:t>
      </w:r>
      <w:r>
        <w:rPr>
          <w:rFonts w:ascii="宋体" w:hAnsi="宋体" w:eastAsia="宋体"/>
          <w:color w:val="auto"/>
          <w:sz w:val="28"/>
          <w:szCs w:val="28"/>
          <w:lang w:eastAsia="zh-CN"/>
        </w:rPr>
        <w:t>。</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38" w:name="_Toc18834"/>
      <w:bookmarkStart w:id="39" w:name="bookmark40"/>
      <w:r>
        <w:rPr>
          <w:rFonts w:ascii="楷体_GB2312" w:hAnsi="Times New Roman" w:eastAsia="楷体_GB2312" w:cs="Times New Roman"/>
          <w:b/>
          <w:bCs w:val="0"/>
          <w:color w:val="auto"/>
          <w:kern w:val="2"/>
          <w:sz w:val="32"/>
          <w:lang w:val="en-US" w:eastAsia="zh-CN" w:bidi="ar-SA"/>
        </w:rPr>
        <w:t>2.</w:t>
      </w:r>
      <w:r>
        <w:rPr>
          <w:rFonts w:hint="eastAsia" w:ascii="楷体_GB2312" w:hAnsi="Times New Roman" w:eastAsia="楷体_GB2312" w:cs="Times New Roman"/>
          <w:b/>
          <w:bCs w:val="0"/>
          <w:color w:val="auto"/>
          <w:kern w:val="2"/>
          <w:sz w:val="32"/>
          <w:lang w:val="en-US" w:eastAsia="zh-CN" w:bidi="ar-SA"/>
        </w:rPr>
        <w:t>6安</w:t>
      </w:r>
      <w:r>
        <w:rPr>
          <w:rFonts w:ascii="楷体_GB2312" w:hAnsi="Times New Roman" w:eastAsia="楷体_GB2312" w:cs="Times New Roman"/>
          <w:b/>
          <w:bCs w:val="0"/>
          <w:color w:val="auto"/>
          <w:kern w:val="2"/>
          <w:sz w:val="32"/>
          <w:lang w:val="en-US" w:eastAsia="zh-CN" w:bidi="ar-SA"/>
        </w:rPr>
        <w:t>全投入情况</w:t>
      </w:r>
      <w:bookmarkEnd w:id="38"/>
      <w:bookmarkEnd w:id="39"/>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根据《关于印发＜企业安全生产费用提取和使用管理办法〉的通知》(财企〔2012〕16号)的规定提取安全生产费用，安全生产费用(以下简称安全费用)是指企业按照规定标准提取在成本中列支，专门用于完善和改进企业或者该公司安全生产条件的资金，该公司属于危险化学品生产企业，根据该规定第8条的要求，危险品生产与储存企业以上年度实际营业收入为计提依据，采取超额累退方式按照以下标准平均逐月提取：</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营业收入不超过1000万元的，按照4%提取；</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营业收入超过1000万元至1亿元的部分，按照2%提取；</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营业收入超过1亿元至10亿元的部分，按照0.5%提取；</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营业收入超过10亿元的部分，按照0.2%提取。</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20</w:t>
      </w:r>
      <w:r>
        <w:rPr>
          <w:rFonts w:hint="eastAsia" w:ascii="宋体" w:hAnsi="宋体" w:eastAsia="宋体"/>
          <w:color w:val="auto"/>
          <w:sz w:val="28"/>
          <w:szCs w:val="28"/>
          <w:lang w:val="en-US" w:eastAsia="zh-CN"/>
        </w:rPr>
        <w:t>20</w:t>
      </w:r>
      <w:r>
        <w:rPr>
          <w:rFonts w:ascii="宋体" w:hAnsi="宋体" w:eastAsia="宋体"/>
          <w:color w:val="auto"/>
          <w:sz w:val="28"/>
          <w:szCs w:val="28"/>
          <w:lang w:eastAsia="zh-CN"/>
        </w:rPr>
        <w:t>年</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lang w:eastAsia="zh-CN"/>
        </w:rPr>
        <w:t>营业收入为</w:t>
      </w:r>
      <w:r>
        <w:rPr>
          <w:rFonts w:hint="eastAsia" w:ascii="宋体" w:hAnsi="宋体" w:eastAsia="宋体"/>
          <w:color w:val="auto"/>
          <w:sz w:val="28"/>
          <w:szCs w:val="28"/>
          <w:lang w:val="en-US" w:eastAsia="zh-CN"/>
        </w:rPr>
        <w:t>3200</w:t>
      </w:r>
      <w:r>
        <w:rPr>
          <w:rFonts w:ascii="宋体" w:hAnsi="宋体" w:eastAsia="宋体"/>
          <w:color w:val="auto"/>
          <w:sz w:val="28"/>
          <w:szCs w:val="28"/>
          <w:lang w:eastAsia="zh-CN"/>
        </w:rPr>
        <w:t>万元，</w:t>
      </w:r>
      <w:r>
        <w:rPr>
          <w:rFonts w:hint="eastAsia" w:ascii="宋体" w:hAnsi="宋体" w:eastAsia="宋体"/>
          <w:color w:val="auto"/>
          <w:sz w:val="28"/>
          <w:szCs w:val="28"/>
          <w:lang w:eastAsia="zh-CN"/>
        </w:rPr>
        <w:t>202</w:t>
      </w:r>
      <w:r>
        <w:rPr>
          <w:rFonts w:hint="eastAsia" w:ascii="宋体" w:hAnsi="宋体" w:eastAsia="宋体"/>
          <w:color w:val="auto"/>
          <w:sz w:val="28"/>
          <w:szCs w:val="28"/>
          <w:lang w:val="en-US" w:eastAsia="zh-CN"/>
        </w:rPr>
        <w:t>1</w:t>
      </w:r>
      <w:r>
        <w:rPr>
          <w:rFonts w:hint="eastAsia" w:ascii="宋体" w:hAnsi="宋体" w:eastAsia="宋体"/>
          <w:color w:val="auto"/>
          <w:sz w:val="28"/>
          <w:szCs w:val="28"/>
          <w:lang w:eastAsia="zh-CN"/>
        </w:rPr>
        <w:t>年度提取的安全生产费用为</w:t>
      </w:r>
      <w:r>
        <w:rPr>
          <w:rFonts w:hint="eastAsia" w:ascii="宋体" w:hAnsi="宋体" w:eastAsia="宋体"/>
          <w:color w:val="auto"/>
          <w:sz w:val="28"/>
          <w:szCs w:val="28"/>
          <w:lang w:val="en-US" w:eastAsia="zh-CN"/>
        </w:rPr>
        <w:t>84</w:t>
      </w:r>
      <w:r>
        <w:rPr>
          <w:rFonts w:hint="eastAsia" w:ascii="宋体" w:hAnsi="宋体" w:eastAsia="宋体"/>
          <w:color w:val="auto"/>
          <w:sz w:val="28"/>
          <w:szCs w:val="28"/>
          <w:lang w:eastAsia="zh-CN"/>
        </w:rPr>
        <w:t>万元。提取的安全费用用于完善和改进企业安全生产条件的资金。安全生产投入和使用情况详见下表：</w:t>
      </w:r>
    </w:p>
    <w:p>
      <w:pPr>
        <w:spacing w:line="560" w:lineRule="exact"/>
        <w:jc w:val="center"/>
        <w:rPr>
          <w:rFonts w:ascii="宋体" w:hAnsi="宋体" w:eastAsia="宋体"/>
          <w:b/>
          <w:color w:val="auto"/>
          <w:lang w:eastAsia="zh-CN"/>
        </w:rPr>
      </w:pPr>
      <w:r>
        <w:rPr>
          <w:rFonts w:ascii="宋体" w:hAnsi="宋体" w:eastAsia="宋体"/>
          <w:b/>
          <w:color w:val="auto"/>
          <w:lang w:eastAsia="zh-CN"/>
        </w:rPr>
        <w:t>表2-</w:t>
      </w:r>
      <w:r>
        <w:rPr>
          <w:rFonts w:hint="eastAsia" w:ascii="宋体" w:hAnsi="宋体" w:eastAsia="宋体"/>
          <w:b/>
          <w:color w:val="auto"/>
          <w:lang w:eastAsia="zh-CN"/>
        </w:rPr>
        <w:t>1</w:t>
      </w:r>
      <w:r>
        <w:rPr>
          <w:rFonts w:hint="eastAsia" w:ascii="宋体" w:hAnsi="宋体" w:eastAsia="宋体"/>
          <w:b/>
          <w:color w:val="auto"/>
          <w:lang w:val="en-US" w:eastAsia="zh-CN"/>
        </w:rPr>
        <w:t>1年</w:t>
      </w:r>
      <w:r>
        <w:rPr>
          <w:rFonts w:hint="eastAsia" w:ascii="宋体" w:hAnsi="宋体" w:eastAsia="宋体"/>
          <w:b/>
          <w:color w:val="auto"/>
          <w:lang w:eastAsia="zh-CN"/>
        </w:rPr>
        <w:t>1月-</w:t>
      </w:r>
      <w:r>
        <w:rPr>
          <w:rFonts w:hint="eastAsia" w:ascii="宋体" w:hAnsi="宋体" w:eastAsia="宋体"/>
          <w:b/>
          <w:color w:val="auto"/>
          <w:lang w:val="en-US" w:eastAsia="zh-CN"/>
        </w:rPr>
        <w:t>3</w:t>
      </w:r>
      <w:r>
        <w:rPr>
          <w:rFonts w:hint="eastAsia" w:ascii="宋体" w:hAnsi="宋体" w:eastAsia="宋体"/>
          <w:b/>
          <w:color w:val="auto"/>
          <w:lang w:eastAsia="zh-CN"/>
        </w:rPr>
        <w:t>月的安全生产费用使用情况</w:t>
      </w:r>
      <w:r>
        <w:rPr>
          <w:rFonts w:ascii="宋体" w:hAnsi="宋体" w:eastAsia="宋体"/>
          <w:b/>
          <w:color w:val="auto"/>
          <w:lang w:eastAsia="zh-CN"/>
        </w:rPr>
        <w:t>表</w:t>
      </w:r>
    </w:p>
    <w:tbl>
      <w:tblPr>
        <w:tblStyle w:val="47"/>
        <w:tblW w:w="9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4234"/>
        <w:gridCol w:w="4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vertAlign w:val="baseline"/>
                <w:lang w:eastAsia="zh-CN"/>
              </w:rPr>
            </w:pPr>
            <w:bookmarkStart w:id="40" w:name="bookmark44"/>
            <w:bookmarkStart w:id="41" w:name="bookmark43"/>
            <w:r>
              <w:rPr>
                <w:rFonts w:hint="eastAsia" w:ascii="宋体" w:hAnsi="宋体" w:eastAsia="宋体" w:cs="宋体"/>
                <w:b/>
                <w:bCs/>
                <w:color w:val="auto"/>
                <w:kern w:val="2"/>
                <w:sz w:val="21"/>
                <w:szCs w:val="21"/>
                <w:vertAlign w:val="baseline"/>
                <w:lang w:eastAsia="zh-CN"/>
              </w:rPr>
              <w:t>序号</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项目</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vertAlign w:val="baseline"/>
                <w:lang w:val="en-US" w:eastAsia="zh-CN"/>
              </w:rPr>
            </w:pPr>
            <w:r>
              <w:rPr>
                <w:rFonts w:hint="eastAsia" w:ascii="宋体" w:hAnsi="宋体" w:eastAsia="宋体" w:cs="宋体"/>
                <w:b/>
                <w:bCs/>
                <w:color w:val="auto"/>
                <w:kern w:val="2"/>
                <w:sz w:val="21"/>
                <w:szCs w:val="21"/>
                <w:vertAlign w:val="baseline"/>
                <w:lang w:val="en-US" w:eastAsia="zh-CN"/>
              </w:rPr>
              <w:t>21年1-3月安全生产费用使用情况（元）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一、完善、改造和维护安全防护设施设备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生产设备及安全设施维修、换新</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7032.92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7032.92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二、应急救援器材、设备及进行应急救援演练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安全防护（消防维护）</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4431.46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灭火器、应急水管、泡沫灭火剂等</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7067.37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应急演练</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11998.83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三、开展重大危险源和事故隐患评估、监控和整改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重大危险源的评估、整改及监控</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3951.04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重大事故隐患的评估、整改及监控</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18651.04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四、安全生产检查、评价、咨询和标准化建设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安全生产检查、整改</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安全评价</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14851.49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应急预案编制、评审</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4950.5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4</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安全标准化建设</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518.87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21620.86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五、配备和更新现场作业人员安全防护用品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防护眼镜</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安全鞋</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574.34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工作服</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4</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防护口罩</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防护手套</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11219.34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rPr>
            </w:pPr>
            <w:r>
              <w:rPr>
                <w:rFonts w:hint="eastAsia" w:ascii="宋体" w:hAnsi="宋体" w:eastAsia="宋体" w:cs="宋体"/>
                <w:color w:val="auto"/>
                <w:kern w:val="2"/>
                <w:sz w:val="21"/>
                <w:szCs w:val="21"/>
                <w:vertAlign w:val="baseline"/>
                <w:lang w:val="en-US" w:eastAsia="zh-CN"/>
              </w:rPr>
              <w:t>15063.68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六、安全生产宣传、教育、培训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对员工教育授课</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安全知识考试、竞赛</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特殊工种上岗前培训</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4</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安全管理培训</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安全宣传标识、杂志</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七、安全生产适用的新技术、新标准、新工艺、新装备的推广应用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新技术、新标准、新工艺、新装备的推广应用</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八、安全设施及特种设备检测检验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防雷设施检测</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可燃气体报警器检测</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其他检测</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5313.41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5313.41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94"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九、其他安全生产措施投入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职业健康体检</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1019.5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2</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职业危害因素检测</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3</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危险废弃物处置</w:t>
            </w: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14524.57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color w:val="auto"/>
                <w:kern w:val="2"/>
                <w:sz w:val="21"/>
                <w:szCs w:val="21"/>
                <w:vertAlign w:val="baseline"/>
                <w:lang w:eastAsia="zh-CN"/>
              </w:rPr>
              <w:t>小计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15544.07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eastAsia="zh-CN"/>
              </w:rPr>
            </w:pPr>
            <w:r>
              <w:rPr>
                <w:rFonts w:hint="eastAsia" w:ascii="宋体" w:hAnsi="宋体" w:eastAsia="宋体" w:cs="宋体"/>
                <w:b/>
                <w:bCs/>
                <w:color w:val="auto"/>
                <w:kern w:val="2"/>
                <w:sz w:val="21"/>
                <w:szCs w:val="21"/>
                <w:vertAlign w:val="baseline"/>
                <w:lang w:eastAsia="zh-CN"/>
              </w:rPr>
              <w:t>合计</w:t>
            </w:r>
          </w:p>
        </w:tc>
        <w:tc>
          <w:tcPr>
            <w:tcW w:w="42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rPr>
            </w:pPr>
          </w:p>
        </w:tc>
        <w:tc>
          <w:tcPr>
            <w:tcW w:w="428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baseline"/>
                <w:lang w:val="en-US" w:eastAsia="zh-CN"/>
              </w:rPr>
            </w:pPr>
            <w:r>
              <w:rPr>
                <w:rFonts w:hint="eastAsia" w:ascii="宋体" w:hAnsi="宋体" w:eastAsia="宋体" w:cs="宋体"/>
                <w:color w:val="auto"/>
                <w:kern w:val="2"/>
                <w:sz w:val="21"/>
                <w:szCs w:val="21"/>
                <w:vertAlign w:val="baseline"/>
                <w:lang w:val="en-US" w:eastAsia="zh-CN"/>
              </w:rPr>
              <w:t>102424.81</w:t>
            </w:r>
          </w:p>
        </w:tc>
      </w:tr>
    </w:tbl>
    <w:p>
      <w:pPr>
        <w:rPr>
          <w:color w:val="auto"/>
        </w:rPr>
      </w:pPr>
    </w:p>
    <w:p>
      <w:pPr>
        <w:rPr>
          <w:rFonts w:ascii="黑体" w:hAnsi="Times New Roman" w:eastAsia="黑体" w:cs="Times New Roman"/>
          <w:color w:val="auto"/>
          <w:sz w:val="32"/>
          <w:szCs w:val="32"/>
          <w:lang w:val="en-US" w:eastAsia="zh-CN" w:bidi="ar-SA"/>
        </w:rPr>
      </w:pPr>
      <w:r>
        <w:rPr>
          <w:color w:val="auto"/>
        </w:rPr>
        <w:br w:type="page"/>
      </w:r>
    </w:p>
    <w:p>
      <w:pPr>
        <w:pStyle w:val="3"/>
        <w:spacing w:after="120" w:line="360" w:lineRule="auto"/>
        <w:rPr>
          <w:b/>
          <w:bCs/>
          <w:snapToGrid/>
          <w:color w:val="auto"/>
        </w:rPr>
      </w:pPr>
      <w:bookmarkStart w:id="42" w:name="_Toc28668"/>
      <w:r>
        <w:rPr>
          <w:b/>
          <w:bCs/>
          <w:snapToGrid/>
          <w:color w:val="auto"/>
        </w:rPr>
        <w:t>3评价范围与内容</w:t>
      </w:r>
      <w:bookmarkEnd w:id="40"/>
      <w:bookmarkEnd w:id="41"/>
      <w:bookmarkEnd w:id="42"/>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43" w:name="bookmark45"/>
      <w:bookmarkStart w:id="44" w:name="_Toc24466"/>
      <w:bookmarkStart w:id="45" w:name="bookmark46"/>
      <w:r>
        <w:rPr>
          <w:rFonts w:ascii="楷体_GB2312" w:hAnsi="Times New Roman" w:eastAsia="楷体_GB2312" w:cs="Times New Roman"/>
          <w:b/>
          <w:bCs/>
          <w:color w:val="auto"/>
          <w:kern w:val="2"/>
          <w:sz w:val="32"/>
          <w:lang w:val="en-US" w:eastAsia="zh-CN" w:bidi="ar-SA"/>
        </w:rPr>
        <w:t>3.1安全评价的对象</w:t>
      </w:r>
      <w:bookmarkEnd w:id="43"/>
      <w:bookmarkEnd w:id="44"/>
      <w:bookmarkEnd w:id="45"/>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该公司是一家危险化学品生产企业，本安全评价主要是针对该公司危险化学品生产和储存的安全情况进行的现状评价。</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46" w:name="bookmark47"/>
      <w:bookmarkStart w:id="47" w:name="_Toc14406"/>
      <w:r>
        <w:rPr>
          <w:rFonts w:ascii="楷体_GB2312" w:hAnsi="Times New Roman" w:eastAsia="楷体_GB2312" w:cs="Times New Roman"/>
          <w:b/>
          <w:bCs w:val="0"/>
          <w:color w:val="auto"/>
          <w:kern w:val="2"/>
          <w:sz w:val="32"/>
          <w:lang w:val="en-US" w:eastAsia="zh-CN" w:bidi="ar-SA"/>
        </w:rPr>
        <w:t>3.2安全评价的范围</w:t>
      </w:r>
      <w:bookmarkEnd w:id="46"/>
      <w:bookmarkEnd w:id="47"/>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本报告的评价范围主要包括：</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lang w:eastAsia="zh-CN"/>
        </w:rPr>
        <w:t>企业危险化学品的生产工艺过程以及生产设施、储存设施、附属设施在运行过程中安全状态；外部周边环境以及厂区平面布置、厂内建筑物的安全状态；企业安全生产条件的符合性方面。</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对企业生产过程中可能发生的事故进行风险评价，提出相应的安全对策措施及建议。</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重点分析评价企业的危险化学品安全生产条件。</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粤安监[2012]56号文件的要求对企业从业人员从业条件及配备进行专项评价。</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对危险化学品生产、储存场所安全设施设备进行专项评价。</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非危险化学品生产</w:t>
      </w:r>
      <w:r>
        <w:rPr>
          <w:rFonts w:hint="eastAsia" w:ascii="宋体" w:hAnsi="宋体" w:eastAsia="宋体"/>
          <w:color w:val="auto"/>
          <w:sz w:val="28"/>
          <w:szCs w:val="28"/>
          <w:lang w:eastAsia="zh-CN"/>
        </w:rPr>
        <w:t>、厂外运输、环保和职业卫生要求</w:t>
      </w:r>
      <w:r>
        <w:rPr>
          <w:rFonts w:ascii="宋体" w:hAnsi="宋体" w:eastAsia="宋体"/>
          <w:color w:val="auto"/>
          <w:sz w:val="28"/>
          <w:szCs w:val="28"/>
          <w:lang w:eastAsia="zh-CN"/>
        </w:rPr>
        <w:t>不在</w:t>
      </w:r>
      <w:r>
        <w:rPr>
          <w:rFonts w:hint="eastAsia" w:ascii="宋体" w:hAnsi="宋体" w:eastAsia="宋体"/>
          <w:color w:val="auto"/>
          <w:sz w:val="28"/>
          <w:szCs w:val="28"/>
          <w:lang w:eastAsia="zh-CN"/>
        </w:rPr>
        <w:t>本次</w:t>
      </w:r>
      <w:r>
        <w:rPr>
          <w:rFonts w:ascii="宋体" w:hAnsi="宋体" w:eastAsia="宋体"/>
          <w:color w:val="auto"/>
          <w:sz w:val="28"/>
          <w:szCs w:val="28"/>
          <w:lang w:eastAsia="zh-CN"/>
        </w:rPr>
        <w:t>评价范围内。</w:t>
      </w:r>
      <w:bookmarkStart w:id="48" w:name="bookmark49"/>
      <w:bookmarkStart w:id="49" w:name="bookmark48"/>
    </w:p>
    <w:p>
      <w:pPr>
        <w:pStyle w:val="3"/>
        <w:spacing w:after="120"/>
        <w:rPr>
          <w:snapToGrid/>
          <w:color w:val="auto"/>
        </w:rPr>
      </w:pPr>
      <w:r>
        <w:rPr>
          <w:snapToGrid/>
          <w:color w:val="auto"/>
        </w:rPr>
        <w:br w:type="page"/>
      </w:r>
    </w:p>
    <w:p>
      <w:pPr>
        <w:pStyle w:val="3"/>
        <w:spacing w:after="120" w:line="360" w:lineRule="auto"/>
        <w:rPr>
          <w:b/>
          <w:bCs/>
          <w:snapToGrid/>
          <w:color w:val="auto"/>
        </w:rPr>
      </w:pPr>
      <w:bookmarkStart w:id="50" w:name="_Toc2038"/>
      <w:r>
        <w:rPr>
          <w:b/>
          <w:bCs/>
          <w:snapToGrid/>
          <w:color w:val="auto"/>
        </w:rPr>
        <w:t>4安全评价程序</w:t>
      </w:r>
      <w:bookmarkEnd w:id="48"/>
      <w:bookmarkEnd w:id="49"/>
      <w:bookmarkEnd w:id="50"/>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本次现状评价的程序如下：</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前期准备；</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明确评价对象及其评价范围；</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组建评价组；</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收集国内外相关法律法规、标准、规章、规范；</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实地调查收集生产企业的基础资料。</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2)</w:t>
      </w:r>
      <w:r>
        <w:rPr>
          <w:rFonts w:ascii="宋体" w:hAnsi="宋体" w:eastAsia="宋体"/>
          <w:color w:val="auto"/>
          <w:sz w:val="28"/>
          <w:szCs w:val="28"/>
        </w:rPr>
        <w:t>危险、有害因素辨识；</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3)</w:t>
      </w:r>
      <w:r>
        <w:rPr>
          <w:rFonts w:ascii="宋体" w:hAnsi="宋体" w:eastAsia="宋体"/>
          <w:color w:val="auto"/>
          <w:sz w:val="28"/>
          <w:szCs w:val="28"/>
        </w:rPr>
        <w:t>划分评价单元；</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4)</w:t>
      </w:r>
      <w:r>
        <w:rPr>
          <w:rFonts w:ascii="宋体" w:hAnsi="宋体" w:eastAsia="宋体"/>
          <w:color w:val="auto"/>
          <w:sz w:val="28"/>
          <w:szCs w:val="28"/>
        </w:rPr>
        <w:t>选择评价方法；</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5)</w:t>
      </w:r>
      <w:r>
        <w:rPr>
          <w:rFonts w:ascii="宋体" w:hAnsi="宋体" w:eastAsia="宋体"/>
          <w:color w:val="auto"/>
          <w:sz w:val="28"/>
          <w:szCs w:val="28"/>
        </w:rPr>
        <w:t>定性、定量评价；</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6)</w:t>
      </w:r>
      <w:r>
        <w:rPr>
          <w:rFonts w:ascii="宋体" w:hAnsi="宋体" w:eastAsia="宋体"/>
          <w:color w:val="auto"/>
          <w:sz w:val="28"/>
          <w:szCs w:val="28"/>
        </w:rPr>
        <w:t>提出安全管理对策措施及建议；</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7)</w:t>
      </w:r>
      <w:r>
        <w:rPr>
          <w:rFonts w:ascii="宋体" w:hAnsi="宋体" w:eastAsia="宋体"/>
          <w:color w:val="auto"/>
          <w:sz w:val="28"/>
          <w:szCs w:val="28"/>
        </w:rPr>
        <w:t>做出安全评价结论；</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8)</w:t>
      </w:r>
      <w:r>
        <w:rPr>
          <w:rFonts w:ascii="宋体" w:hAnsi="宋体" w:eastAsia="宋体"/>
          <w:color w:val="auto"/>
          <w:sz w:val="28"/>
          <w:szCs w:val="28"/>
        </w:rPr>
        <w:t>编制安全评价报告等。</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具体评价程序见附件4和附图4-3。</w:t>
      </w:r>
    </w:p>
    <w:p>
      <w:pPr>
        <w:spacing w:line="560" w:lineRule="exact"/>
        <w:ind w:firstLine="425" w:firstLineChars="152"/>
        <w:rPr>
          <w:rFonts w:ascii="宋体" w:hAnsi="宋体" w:eastAsia="宋体"/>
          <w:color w:val="auto"/>
          <w:sz w:val="28"/>
          <w:szCs w:val="28"/>
        </w:rPr>
      </w:pPr>
    </w:p>
    <w:p>
      <w:pPr>
        <w:pStyle w:val="3"/>
        <w:spacing w:after="120"/>
        <w:rPr>
          <w:snapToGrid/>
          <w:color w:val="auto"/>
        </w:rPr>
      </w:pPr>
      <w:bookmarkStart w:id="51" w:name="bookmark51"/>
      <w:bookmarkStart w:id="52" w:name="bookmark50"/>
      <w:r>
        <w:rPr>
          <w:snapToGrid/>
          <w:color w:val="auto"/>
        </w:rPr>
        <w:br w:type="page"/>
      </w:r>
    </w:p>
    <w:p>
      <w:pPr>
        <w:pStyle w:val="3"/>
        <w:spacing w:after="120" w:line="360" w:lineRule="auto"/>
        <w:rPr>
          <w:b/>
          <w:bCs/>
          <w:snapToGrid/>
          <w:color w:val="auto"/>
        </w:rPr>
      </w:pPr>
      <w:bookmarkStart w:id="53" w:name="_Toc23279"/>
      <w:r>
        <w:rPr>
          <w:b/>
          <w:bCs/>
          <w:snapToGrid/>
          <w:color w:val="auto"/>
        </w:rPr>
        <w:t>5评价单元的划分和评价方法的选择</w:t>
      </w:r>
      <w:bookmarkEnd w:id="51"/>
      <w:bookmarkEnd w:id="52"/>
      <w:bookmarkEnd w:id="53"/>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54" w:name="_Toc28057"/>
      <w:bookmarkStart w:id="55" w:name="bookmark52"/>
      <w:bookmarkStart w:id="56" w:name="bookmark53"/>
      <w:r>
        <w:rPr>
          <w:rFonts w:ascii="楷体_GB2312" w:hAnsi="Times New Roman" w:eastAsia="楷体_GB2312" w:cs="Times New Roman"/>
          <w:b/>
          <w:bCs/>
          <w:color w:val="auto"/>
          <w:kern w:val="2"/>
          <w:sz w:val="32"/>
          <w:lang w:val="en-US" w:eastAsia="zh-CN" w:bidi="ar-SA"/>
        </w:rPr>
        <w:t>5.1评价单元的划分</w:t>
      </w:r>
      <w:bookmarkEnd w:id="54"/>
    </w:p>
    <w:p>
      <w:pPr>
        <w:spacing w:line="360" w:lineRule="auto"/>
        <w:jc w:val="both"/>
        <w:outlineLvl w:val="2"/>
        <w:rPr>
          <w:rFonts w:ascii="宋体" w:hAnsi="宋体" w:eastAsia="宋体" w:cs="Times New Roman"/>
          <w:b/>
          <w:bCs/>
          <w:color w:val="auto"/>
          <w:kern w:val="2"/>
          <w:sz w:val="28"/>
          <w:szCs w:val="28"/>
          <w:lang w:val="en-US" w:eastAsia="zh-CN" w:bidi="ar-SA"/>
        </w:rPr>
      </w:pPr>
      <w:r>
        <w:rPr>
          <w:rFonts w:ascii="宋体" w:hAnsi="宋体" w:eastAsia="宋体" w:cs="Times New Roman"/>
          <w:b/>
          <w:bCs/>
          <w:color w:val="auto"/>
          <w:kern w:val="2"/>
          <w:sz w:val="28"/>
          <w:szCs w:val="28"/>
          <w:lang w:val="en-US" w:eastAsia="zh-CN" w:bidi="ar-SA"/>
        </w:rPr>
        <w:t>5.1.1评价单元的划分原则</w:t>
      </w:r>
      <w:bookmarkEnd w:id="55"/>
      <w:bookmarkEnd w:id="56"/>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评价单元的划分是在对危险有害因素分析的基础上，根据评价目标和评价方法的需要将系统分成若干有限的确定范围和需要评价的单元，以利于评价工作的客观性和准确性。在划分评价单元时也可以危险有害因素的类别为主划分评价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本评价报告评价单元的划分主要以功能区域和装置的相对独立性为主，同时考虑到危险有害因素的类别。</w:t>
      </w:r>
    </w:p>
    <w:p>
      <w:pPr>
        <w:spacing w:line="360" w:lineRule="auto"/>
        <w:jc w:val="both"/>
        <w:outlineLvl w:val="2"/>
        <w:rPr>
          <w:rFonts w:ascii="宋体" w:hAnsi="宋体" w:eastAsia="宋体" w:cs="Times New Roman"/>
          <w:bCs/>
          <w:color w:val="auto"/>
          <w:kern w:val="2"/>
          <w:sz w:val="28"/>
          <w:szCs w:val="28"/>
          <w:lang w:val="en-US" w:eastAsia="zh-CN" w:bidi="ar-SA"/>
        </w:rPr>
      </w:pPr>
      <w:bookmarkStart w:id="57" w:name="bookmark54"/>
      <w:r>
        <w:rPr>
          <w:rFonts w:ascii="宋体" w:hAnsi="宋体" w:eastAsia="宋体" w:cs="Times New Roman"/>
          <w:bCs/>
          <w:color w:val="auto"/>
          <w:kern w:val="2"/>
          <w:sz w:val="28"/>
          <w:szCs w:val="28"/>
          <w:lang w:val="en-US" w:eastAsia="zh-CN" w:bidi="ar-SA"/>
        </w:rPr>
        <w:t>5.1.2评价单元的划分结果</w:t>
      </w:r>
      <w:bookmarkEnd w:id="57"/>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根据企业的安全现状和评价的需要，本评价报告的评价单元划分如下：</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安全生产管理评价单元；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生产区评价单元；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储存场所评价单元；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安全防火间距评价单元；</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安全生产条件评价单元。</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58" w:name="bookmark55"/>
      <w:bookmarkStart w:id="59" w:name="_Toc24011"/>
      <w:r>
        <w:rPr>
          <w:rFonts w:ascii="楷体_GB2312" w:hAnsi="Times New Roman" w:eastAsia="楷体_GB2312" w:cs="Times New Roman"/>
          <w:b/>
          <w:bCs w:val="0"/>
          <w:color w:val="auto"/>
          <w:kern w:val="2"/>
          <w:sz w:val="32"/>
          <w:lang w:val="en-US" w:eastAsia="zh-CN" w:bidi="ar-SA"/>
        </w:rPr>
        <w:t>5.2评价方法的选择及确定</w:t>
      </w:r>
      <w:bookmarkEnd w:id="58"/>
      <w:bookmarkEnd w:id="59"/>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根据本企业的实际情况，本报告的评价方法选择如下：</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安全检查表：依据国家标准法规对每一个评价单元设置检查项目，对其安全生产条件的现状进行检查和分析评价。</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事故树分析法：该公司最主要的危险因素是火灾爆炸危险。对此，采用事故树分析法，对</w:t>
      </w:r>
      <w:r>
        <w:rPr>
          <w:rFonts w:hint="eastAsia" w:ascii="宋体" w:hAnsi="宋体" w:eastAsia="宋体"/>
          <w:color w:val="auto"/>
          <w:sz w:val="28"/>
          <w:szCs w:val="28"/>
          <w:lang w:eastAsia="zh-CN"/>
        </w:rPr>
        <w:t>厂房四（厂房C）</w:t>
      </w:r>
      <w:r>
        <w:rPr>
          <w:rFonts w:ascii="宋体" w:hAnsi="宋体" w:eastAsia="宋体"/>
          <w:color w:val="auto"/>
          <w:sz w:val="28"/>
          <w:szCs w:val="28"/>
        </w:rPr>
        <w:t>的火灾爆炸危险程度进行评价。</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道化学火灾爆炸指数评价法：由危险危害因素辨识的结果可知，企业生产、储存危险化学品的过程中，其主要危险为火灾爆炸，而产生火灾爆炸的原因涉及很多方面。根据该公司的生产工艺及储存危险化学品设施的具体情况，采用道化学火灾爆炸危险指数法预测易燃易爆物料火灾爆炸事故发生的后果。</w:t>
      </w:r>
    </w:p>
    <w:p>
      <w:pPr>
        <w:spacing w:line="360" w:lineRule="auto"/>
        <w:ind w:firstLine="425" w:firstLineChars="152"/>
        <w:rPr>
          <w:rFonts w:ascii="宋体" w:hAnsi="宋体" w:eastAsia="宋体"/>
          <w:color w:val="auto"/>
          <w:sz w:val="28"/>
          <w:szCs w:val="28"/>
        </w:rPr>
      </w:pPr>
    </w:p>
    <w:p>
      <w:pPr>
        <w:pStyle w:val="3"/>
        <w:spacing w:after="120"/>
        <w:rPr>
          <w:snapToGrid/>
          <w:color w:val="auto"/>
        </w:rPr>
      </w:pPr>
      <w:bookmarkStart w:id="60" w:name="bookmark56"/>
      <w:r>
        <w:rPr>
          <w:snapToGrid/>
          <w:color w:val="auto"/>
        </w:rPr>
        <w:br w:type="page"/>
      </w:r>
    </w:p>
    <w:p>
      <w:pPr>
        <w:pStyle w:val="3"/>
        <w:spacing w:after="120" w:line="360" w:lineRule="auto"/>
        <w:rPr>
          <w:b/>
          <w:bCs/>
          <w:snapToGrid/>
          <w:color w:val="auto"/>
        </w:rPr>
      </w:pPr>
      <w:bookmarkStart w:id="61" w:name="_Toc29658"/>
      <w:r>
        <w:rPr>
          <w:b/>
          <w:bCs/>
          <w:snapToGrid/>
          <w:color w:val="auto"/>
        </w:rPr>
        <w:t>6危险、有害因素分析结果</w:t>
      </w:r>
      <w:bookmarkEnd w:id="60"/>
      <w:bookmarkEnd w:id="61"/>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62" w:name="bookmark59"/>
      <w:bookmarkStart w:id="63" w:name="bookmark58"/>
      <w:bookmarkStart w:id="64" w:name="_Toc8236"/>
      <w:bookmarkStart w:id="65" w:name="bookmark57"/>
      <w:r>
        <w:rPr>
          <w:rFonts w:ascii="楷体_GB2312" w:hAnsi="Times New Roman" w:eastAsia="楷体_GB2312" w:cs="Times New Roman"/>
          <w:b/>
          <w:bCs/>
          <w:color w:val="auto"/>
          <w:kern w:val="2"/>
          <w:sz w:val="32"/>
          <w:lang w:val="en-US" w:eastAsia="zh-CN" w:bidi="ar-SA"/>
        </w:rPr>
        <w:t>6.1危险化学品危险特性分析结果</w:t>
      </w:r>
      <w:bookmarkEnd w:id="62"/>
      <w:bookmarkEnd w:id="63"/>
      <w:bookmarkEnd w:id="64"/>
      <w:bookmarkEnd w:id="65"/>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依据</w:t>
      </w:r>
      <w:r>
        <w:rPr>
          <w:rFonts w:ascii="宋体" w:hAnsi="宋体" w:eastAsia="宋体"/>
          <w:color w:val="auto"/>
          <w:sz w:val="28"/>
          <w:szCs w:val="28"/>
          <w:lang w:eastAsia="zh-CN"/>
        </w:rPr>
        <w:t>《危险化学品</w:t>
      </w:r>
      <w:r>
        <w:rPr>
          <w:rFonts w:hint="eastAsia" w:ascii="宋体" w:hAnsi="宋体" w:eastAsia="宋体"/>
          <w:color w:val="auto"/>
          <w:sz w:val="28"/>
          <w:szCs w:val="28"/>
          <w:lang w:eastAsia="zh-CN"/>
        </w:rPr>
        <w:t>目</w:t>
      </w:r>
      <w:r>
        <w:rPr>
          <w:rFonts w:ascii="宋体" w:hAnsi="宋体" w:eastAsia="宋体"/>
          <w:color w:val="auto"/>
          <w:sz w:val="28"/>
          <w:szCs w:val="28"/>
          <w:lang w:eastAsia="zh-CN"/>
        </w:rPr>
        <w:t>录(2015版)》(安全监管总局、工业和信息化部、公安部等公告2015年第5号)</w:t>
      </w:r>
      <w:r>
        <w:rPr>
          <w:rFonts w:hint="eastAsia" w:ascii="宋体" w:hAnsi="宋体" w:eastAsia="宋体"/>
          <w:color w:val="auto"/>
          <w:sz w:val="28"/>
          <w:szCs w:val="28"/>
          <w:lang w:eastAsia="zh-CN"/>
        </w:rPr>
        <w:t>辨识，该公司主要生产的危险化学品为：快干助焊剂(2828)、2-丙醇(111)、清洗剂(2828)</w:t>
      </w:r>
      <w:r>
        <w:rPr>
          <w:rFonts w:hint="eastAsia" w:ascii="宋体" w:hAnsi="宋体" w:eastAsia="宋体"/>
          <w:color w:val="auto"/>
          <w:sz w:val="28"/>
          <w:szCs w:val="28"/>
          <w:lang w:val="en-GB" w:eastAsia="zh-CN"/>
        </w:rPr>
        <w:t>。</w:t>
      </w:r>
      <w:r>
        <w:rPr>
          <w:rFonts w:ascii="宋体" w:hAnsi="宋体" w:eastAsia="宋体"/>
          <w:color w:val="auto"/>
          <w:sz w:val="28"/>
          <w:szCs w:val="28"/>
          <w:lang w:eastAsia="zh-CN"/>
        </w:rPr>
        <w:t>生产过程中使用的原材料</w:t>
      </w:r>
      <w:r>
        <w:rPr>
          <w:rFonts w:hint="eastAsia" w:ascii="宋体" w:hAnsi="宋体" w:eastAsia="宋体"/>
          <w:color w:val="auto"/>
          <w:sz w:val="28"/>
          <w:szCs w:val="28"/>
          <w:lang w:eastAsia="zh-CN"/>
        </w:rPr>
        <w:t>属于危险化学品的主要有：环己烷、乙醇</w:t>
      </w:r>
      <w:r>
        <w:rPr>
          <w:rFonts w:ascii="宋体" w:hAnsi="宋体" w:eastAsia="宋体"/>
          <w:color w:val="auto"/>
          <w:sz w:val="28"/>
          <w:szCs w:val="28"/>
          <w:lang w:eastAsia="zh-CN"/>
        </w:rPr>
        <w:t>[</w:t>
      </w:r>
      <w:r>
        <w:rPr>
          <w:rFonts w:hint="eastAsia" w:ascii="宋体" w:hAnsi="宋体" w:eastAsia="宋体"/>
          <w:color w:val="auto"/>
          <w:sz w:val="28"/>
          <w:szCs w:val="28"/>
          <w:lang w:eastAsia="zh-CN"/>
        </w:rPr>
        <w:t>无水</w:t>
      </w:r>
      <w:r>
        <w:rPr>
          <w:rFonts w:ascii="宋体" w:hAnsi="宋体" w:eastAsia="宋体"/>
          <w:color w:val="auto"/>
          <w:sz w:val="28"/>
          <w:szCs w:val="28"/>
          <w:lang w:eastAsia="zh-CN"/>
        </w:rPr>
        <w:t>]</w:t>
      </w:r>
      <w:r>
        <w:rPr>
          <w:rFonts w:hint="eastAsia" w:ascii="宋体" w:hAnsi="宋体" w:eastAsia="宋体"/>
          <w:color w:val="auto"/>
          <w:sz w:val="28"/>
          <w:szCs w:val="28"/>
          <w:lang w:eastAsia="zh-CN"/>
        </w:rPr>
        <w:t>、</w:t>
      </w:r>
      <w:r>
        <w:rPr>
          <w:rFonts w:ascii="宋体" w:hAnsi="宋体" w:eastAsia="宋体"/>
          <w:color w:val="auto"/>
          <w:sz w:val="28"/>
          <w:szCs w:val="28"/>
          <w:lang w:eastAsia="zh-CN"/>
        </w:rPr>
        <w:t>2-</w:t>
      </w:r>
      <w:r>
        <w:rPr>
          <w:rFonts w:hint="eastAsia" w:ascii="宋体" w:hAnsi="宋体" w:eastAsia="宋体"/>
          <w:color w:val="auto"/>
          <w:sz w:val="28"/>
          <w:szCs w:val="28"/>
          <w:lang w:eastAsia="zh-CN"/>
        </w:rPr>
        <w:t>丙醇、壬基酚聚氧乙烯醚等</w:t>
      </w:r>
      <w:r>
        <w:rPr>
          <w:rFonts w:ascii="宋体" w:hAnsi="宋体" w:eastAsia="宋体"/>
          <w:color w:val="auto"/>
          <w:sz w:val="28"/>
          <w:szCs w:val="28"/>
          <w:lang w:eastAsia="zh-CN"/>
        </w:rPr>
        <w:t>，上述物质主要为易燃液体</w:t>
      </w:r>
      <w:r>
        <w:rPr>
          <w:rFonts w:hint="eastAsia" w:ascii="宋体" w:hAnsi="宋体" w:eastAsia="宋体"/>
          <w:color w:val="auto"/>
          <w:sz w:val="28"/>
          <w:szCs w:val="28"/>
          <w:lang w:eastAsia="zh-CN"/>
        </w:rPr>
        <w:t>和腐蚀品</w:t>
      </w:r>
      <w:r>
        <w:rPr>
          <w:rFonts w:ascii="宋体" w:hAnsi="宋体" w:eastAsia="宋体"/>
          <w:color w:val="auto"/>
          <w:sz w:val="28"/>
          <w:szCs w:val="28"/>
          <w:lang w:eastAsia="zh-CN"/>
        </w:rPr>
        <w:t>，物料的危险特性分析过程见“附件1.1危险化学品危险特性分析”。</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66" w:name="_Toc10347"/>
      <w:bookmarkStart w:id="67" w:name="bookmark60"/>
      <w:r>
        <w:rPr>
          <w:rFonts w:ascii="楷体_GB2312" w:hAnsi="Times New Roman" w:eastAsia="楷体_GB2312" w:cs="Times New Roman"/>
          <w:b/>
          <w:bCs w:val="0"/>
          <w:color w:val="auto"/>
          <w:kern w:val="2"/>
          <w:sz w:val="32"/>
          <w:lang w:val="en-US" w:eastAsia="zh-CN" w:bidi="ar-SA"/>
        </w:rPr>
        <w:t>6.2生产、储存过程危险的辨识结果</w:t>
      </w:r>
      <w:bookmarkEnd w:id="66"/>
      <w:bookmarkEnd w:id="67"/>
    </w:p>
    <w:p>
      <w:pPr>
        <w:spacing w:line="360" w:lineRule="auto"/>
        <w:ind w:firstLine="425" w:firstLineChars="152"/>
        <w:jc w:val="both"/>
        <w:rPr>
          <w:rFonts w:ascii="宋体" w:hAnsi="宋体" w:eastAsia="PMingLiU"/>
          <w:color w:val="auto"/>
          <w:sz w:val="28"/>
          <w:szCs w:val="28"/>
        </w:rPr>
      </w:pPr>
      <w:r>
        <w:rPr>
          <w:rFonts w:hint="eastAsia" w:ascii="宋体" w:hAnsi="宋体" w:eastAsia="宋体"/>
          <w:color w:val="auto"/>
          <w:sz w:val="28"/>
          <w:szCs w:val="28"/>
        </w:rPr>
        <w:t>依照《企业职工伤亡事故分类》GB6441-1986的规定，</w:t>
      </w:r>
      <w:r>
        <w:rPr>
          <w:rFonts w:ascii="宋体" w:hAnsi="宋体" w:eastAsia="宋体"/>
          <w:color w:val="auto"/>
          <w:sz w:val="28"/>
          <w:szCs w:val="28"/>
        </w:rPr>
        <w:t>综合考虑</w:t>
      </w:r>
      <w:r>
        <w:rPr>
          <w:rFonts w:hint="eastAsia" w:ascii="宋体" w:hAnsi="宋体" w:eastAsia="宋体"/>
          <w:color w:val="auto"/>
          <w:sz w:val="28"/>
          <w:szCs w:val="28"/>
        </w:rPr>
        <w:t>事故起因物、引起事故先发的诱导性原因、致害物、伤害方式等，该企业在生产、储存和运输过程中</w:t>
      </w:r>
      <w:r>
        <w:rPr>
          <w:rFonts w:ascii="宋体" w:hAnsi="宋体" w:eastAsia="宋体"/>
          <w:color w:val="auto"/>
          <w:sz w:val="28"/>
          <w:szCs w:val="28"/>
        </w:rPr>
        <w:t>存在</w:t>
      </w:r>
      <w:r>
        <w:rPr>
          <w:rFonts w:hint="eastAsia" w:ascii="宋体" w:hAnsi="宋体" w:eastAsia="宋体"/>
          <w:color w:val="auto"/>
          <w:sz w:val="28"/>
          <w:szCs w:val="28"/>
        </w:rPr>
        <w:t>的危险有害因素有：</w:t>
      </w:r>
      <w:r>
        <w:rPr>
          <w:rFonts w:ascii="宋体" w:hAnsi="宋体" w:eastAsia="宋体"/>
          <w:color w:val="auto"/>
          <w:sz w:val="28"/>
          <w:szCs w:val="28"/>
        </w:rPr>
        <w:t>火灾爆炸</w:t>
      </w:r>
      <w:r>
        <w:rPr>
          <w:rFonts w:hint="eastAsia" w:ascii="宋体" w:hAnsi="宋体" w:eastAsia="宋体"/>
          <w:color w:val="auto"/>
          <w:sz w:val="28"/>
          <w:szCs w:val="28"/>
        </w:rPr>
        <w:t>、中毒和窒息、触电、机械伤害、灼烫、高处坠落、车辆伤害、物体打击、粉尘危害、噪声等</w:t>
      </w:r>
      <w:r>
        <w:rPr>
          <w:rFonts w:ascii="宋体" w:hAnsi="宋体" w:eastAsia="宋体"/>
          <w:color w:val="auto"/>
          <w:sz w:val="28"/>
          <w:szCs w:val="28"/>
        </w:rPr>
        <w:t>。其中主要的危险、有害因素为火灾爆炸和中毒</w:t>
      </w:r>
      <w:r>
        <w:rPr>
          <w:rFonts w:hint="eastAsia" w:ascii="宋体" w:hAnsi="宋体" w:eastAsia="宋体"/>
          <w:color w:val="auto"/>
          <w:sz w:val="28"/>
          <w:szCs w:val="28"/>
          <w:lang w:eastAsia="zh-CN"/>
        </w:rPr>
        <w:t>和</w:t>
      </w:r>
      <w:r>
        <w:rPr>
          <w:rFonts w:ascii="宋体" w:hAnsi="宋体" w:eastAsia="宋体"/>
          <w:color w:val="auto"/>
          <w:sz w:val="28"/>
          <w:szCs w:val="28"/>
        </w:rPr>
        <w:t>窒息。具体辨识过程见：“附件：1.2生产、储存和运输过程危险、有害因素辨识”。主要危险场所、有害因素及其分布情况汇总如表6.2-1所示：</w:t>
      </w:r>
    </w:p>
    <w:p>
      <w:pPr>
        <w:spacing w:line="560" w:lineRule="exact"/>
        <w:jc w:val="center"/>
        <w:rPr>
          <w:rFonts w:ascii="宋体" w:hAnsi="宋体" w:eastAsia="宋体"/>
          <w:b/>
          <w:color w:val="auto"/>
          <w:lang w:eastAsia="zh-CN"/>
        </w:rPr>
      </w:pPr>
      <w:r>
        <w:rPr>
          <w:rFonts w:ascii="宋体" w:hAnsi="宋体" w:eastAsia="宋体"/>
          <w:b/>
          <w:color w:val="auto"/>
        </w:rPr>
        <w:t>表6-1主要危险有害因素及其分布情况表</w:t>
      </w:r>
    </w:p>
    <w:tbl>
      <w:tblPr>
        <w:tblStyle w:val="46"/>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3"/>
        <w:gridCol w:w="816"/>
        <w:gridCol w:w="850"/>
        <w:gridCol w:w="750"/>
        <w:gridCol w:w="850"/>
        <w:gridCol w:w="884"/>
        <w:gridCol w:w="916"/>
        <w:gridCol w:w="867"/>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blHeader/>
          <w:jc w:val="center"/>
        </w:trPr>
        <w:tc>
          <w:tcPr>
            <w:tcW w:w="2583"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危险</w:t>
            </w:r>
          </w:p>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区域</w:t>
            </w:r>
          </w:p>
        </w:tc>
        <w:tc>
          <w:tcPr>
            <w:tcW w:w="816"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w:t>
            </w:r>
            <w:r>
              <w:rPr>
                <w:rFonts w:hint="eastAsia" w:ascii="宋体" w:hAnsi="宋体" w:eastAsia="宋体" w:cs="宋体"/>
                <w:b/>
                <w:color w:val="auto"/>
                <w:kern w:val="2"/>
                <w:sz w:val="21"/>
                <w:szCs w:val="21"/>
                <w:lang w:eastAsia="zh-CN"/>
              </w:rPr>
              <w:t>、</w:t>
            </w:r>
            <w:r>
              <w:rPr>
                <w:rFonts w:hint="eastAsia" w:ascii="宋体" w:hAnsi="宋体" w:eastAsia="宋体" w:cs="宋体"/>
                <w:b/>
                <w:color w:val="auto"/>
                <w:kern w:val="2"/>
                <w:sz w:val="21"/>
                <w:szCs w:val="21"/>
              </w:rPr>
              <w:t>爆炸</w:t>
            </w:r>
          </w:p>
        </w:tc>
        <w:tc>
          <w:tcPr>
            <w:tcW w:w="85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中毒和窒息</w:t>
            </w:r>
          </w:p>
        </w:tc>
        <w:tc>
          <w:tcPr>
            <w:tcW w:w="75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机械伤害</w:t>
            </w:r>
          </w:p>
        </w:tc>
        <w:tc>
          <w:tcPr>
            <w:tcW w:w="85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触电伤害</w:t>
            </w:r>
          </w:p>
        </w:tc>
        <w:tc>
          <w:tcPr>
            <w:tcW w:w="884"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物体打击</w:t>
            </w:r>
          </w:p>
        </w:tc>
        <w:tc>
          <w:tcPr>
            <w:tcW w:w="916"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灼烫</w:t>
            </w:r>
          </w:p>
        </w:tc>
        <w:tc>
          <w:tcPr>
            <w:tcW w:w="867"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高处坠落</w:t>
            </w:r>
          </w:p>
        </w:tc>
        <w:tc>
          <w:tcPr>
            <w:tcW w:w="112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车辆伤害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8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8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配电房</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办公楼</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宿舍楼</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厂房三(厂房B)</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厂区道路</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jc w:val="both"/>
        <w:textAlignment w:val="auto"/>
        <w:outlineLvl w:val="1"/>
        <w:rPr>
          <w:rFonts w:ascii="楷体_GB2312" w:hAnsi="Times New Roman" w:eastAsia="楷体_GB2312" w:cs="Times New Roman"/>
          <w:b/>
          <w:bCs w:val="0"/>
          <w:color w:val="auto"/>
          <w:kern w:val="2"/>
          <w:sz w:val="32"/>
          <w:lang w:val="en-US" w:eastAsia="zh-CN" w:bidi="ar-SA"/>
        </w:rPr>
      </w:pPr>
      <w:bookmarkStart w:id="68" w:name="bookmark34"/>
      <w:bookmarkStart w:id="69" w:name="_Toc7680"/>
      <w:bookmarkStart w:id="70" w:name="bookmark62"/>
      <w:r>
        <w:rPr>
          <w:rFonts w:hint="eastAsia" w:ascii="楷体_GB2312" w:hAnsi="Times New Roman" w:eastAsia="楷体_GB2312" w:cs="Times New Roman"/>
          <w:b/>
          <w:bCs w:val="0"/>
          <w:color w:val="auto"/>
          <w:kern w:val="2"/>
          <w:sz w:val="32"/>
          <w:lang w:val="en-US" w:eastAsia="zh-CN" w:bidi="ar-SA"/>
        </w:rPr>
        <w:t>6.3</w:t>
      </w:r>
      <w:r>
        <w:rPr>
          <w:rFonts w:ascii="楷体_GB2312" w:hAnsi="Times New Roman" w:eastAsia="楷体_GB2312" w:cs="Times New Roman"/>
          <w:b/>
          <w:bCs w:val="0"/>
          <w:color w:val="auto"/>
          <w:kern w:val="2"/>
          <w:sz w:val="32"/>
          <w:lang w:val="en-US" w:eastAsia="zh-CN" w:bidi="ar-SA"/>
        </w:rPr>
        <w:t>家明令淘汰的产品和危险工艺</w:t>
      </w:r>
      <w:bookmarkEnd w:id="68"/>
      <w:r>
        <w:rPr>
          <w:rFonts w:ascii="楷体_GB2312" w:hAnsi="Times New Roman" w:eastAsia="楷体_GB2312" w:cs="Times New Roman"/>
          <w:b/>
          <w:bCs w:val="0"/>
          <w:color w:val="auto"/>
          <w:kern w:val="2"/>
          <w:sz w:val="32"/>
          <w:lang w:val="en-US" w:eastAsia="zh-CN" w:bidi="ar-SA"/>
        </w:rPr>
        <w:t>辨识</w:t>
      </w:r>
      <w:r>
        <w:rPr>
          <w:rFonts w:hint="eastAsia" w:ascii="楷体_GB2312" w:hAnsi="Times New Roman" w:eastAsia="楷体_GB2312" w:cs="Times New Roman"/>
          <w:b/>
          <w:bCs w:val="0"/>
          <w:color w:val="auto"/>
          <w:kern w:val="2"/>
          <w:sz w:val="32"/>
          <w:lang w:val="en-US" w:eastAsia="zh-CN" w:bidi="ar-SA"/>
        </w:rPr>
        <w:t>结果</w:t>
      </w:r>
      <w:bookmarkEnd w:id="69"/>
    </w:p>
    <w:p>
      <w:pPr>
        <w:spacing w:line="360" w:lineRule="auto"/>
        <w:ind w:firstLine="425" w:firstLineChars="152"/>
        <w:jc w:val="both"/>
        <w:rPr>
          <w:rFonts w:ascii="宋体" w:hAnsi="宋体" w:eastAsia="宋体"/>
          <w:color w:val="auto"/>
          <w:sz w:val="28"/>
          <w:szCs w:val="28"/>
          <w:lang w:eastAsia="zh-CN"/>
        </w:rPr>
      </w:pPr>
      <w:bookmarkStart w:id="71" w:name="bookmark35"/>
      <w:r>
        <w:rPr>
          <w:rFonts w:ascii="宋体" w:hAnsi="宋体" w:eastAsia="宋体"/>
          <w:color w:val="auto"/>
          <w:sz w:val="28"/>
          <w:szCs w:val="28"/>
          <w:lang w:eastAsia="zh-CN"/>
        </w:rPr>
        <w:t>由公司所提供的生产能力、生产工艺、产品等信息，依据《产业结构调整指导目录(2019年本)》(中华人民共和国国家发展和改革委员会令第29号)可知，该公司危险化学品的生产能力、工艺和产品都不在淘汰范围内。</w:t>
      </w:r>
      <w:bookmarkEnd w:id="71"/>
    </w:p>
    <w:p>
      <w:pPr>
        <w:tabs>
          <w:tab w:val="left" w:pos="0"/>
        </w:tabs>
        <w:spacing w:line="360" w:lineRule="auto"/>
        <w:ind w:firstLine="560" w:firstLineChars="200"/>
        <w:jc w:val="both"/>
        <w:rPr>
          <w:rFonts w:ascii="宋体" w:hAnsi="宋体" w:eastAsiaTheme="minorEastAsia"/>
          <w:color w:val="auto"/>
          <w:sz w:val="28"/>
          <w:szCs w:val="28"/>
          <w:lang w:eastAsia="zh-CN"/>
        </w:rPr>
      </w:pPr>
      <w:r>
        <w:rPr>
          <w:rFonts w:ascii="宋体" w:hAnsi="宋体" w:eastAsia="宋体"/>
          <w:color w:val="auto"/>
          <w:sz w:val="28"/>
          <w:szCs w:val="28"/>
          <w:lang w:eastAsia="zh-CN"/>
        </w:rPr>
        <w:t>根据《国家安全监管总局关于公布首批重点监管的危险化工工艺目录的通知</w:t>
      </w:r>
      <w:r>
        <w:rPr>
          <w:rFonts w:hint="eastAsia" w:ascii="宋体" w:hAnsi="宋体" w:eastAsia="宋体"/>
          <w:color w:val="auto"/>
          <w:sz w:val="28"/>
          <w:szCs w:val="28"/>
          <w:lang w:eastAsia="zh-CN"/>
        </w:rPr>
        <w:t>》</w:t>
      </w:r>
      <w:r>
        <w:rPr>
          <w:rFonts w:ascii="宋体" w:hAnsi="宋体" w:eastAsia="宋体"/>
          <w:color w:val="auto"/>
          <w:sz w:val="28"/>
          <w:szCs w:val="28"/>
          <w:lang w:eastAsia="zh-CN"/>
        </w:rPr>
        <w:t>(安监总管三〔2009〕116号)</w:t>
      </w:r>
      <w:r>
        <w:rPr>
          <w:rFonts w:hint="eastAsia" w:ascii="宋体" w:hAnsi="宋体" w:eastAsia="宋体"/>
          <w:color w:val="auto"/>
          <w:sz w:val="28"/>
          <w:szCs w:val="28"/>
        </w:rPr>
        <w:t xml:space="preserve"> 及《国家安全监管总局关于公布第二批重点监管危险化工工艺目录和调整首批重点监管危险化工工艺中部分典型工艺的通知》(安监总管三[2013]3号)的有关规定</w:t>
      </w:r>
      <w:r>
        <w:rPr>
          <w:rFonts w:hint="eastAsia" w:ascii="宋体" w:hAnsi="宋体" w:eastAsia="宋体"/>
          <w:color w:val="auto"/>
          <w:sz w:val="28"/>
          <w:szCs w:val="28"/>
          <w:lang w:eastAsia="zh-CN"/>
        </w:rPr>
        <w:t>，</w:t>
      </w:r>
      <w:r>
        <w:rPr>
          <w:rFonts w:hint="eastAsia" w:ascii="宋体" w:hAnsi="宋体" w:eastAsia="宋体"/>
          <w:color w:val="auto"/>
          <w:sz w:val="28"/>
          <w:szCs w:val="28"/>
          <w:lang w:val="en-GB"/>
        </w:rPr>
        <w:t>该公司的生产工艺不属于危险化工工艺。</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72" w:name="bookmark36"/>
      <w:bookmarkStart w:id="73" w:name="_Toc12411"/>
      <w:r>
        <w:rPr>
          <w:rFonts w:hint="eastAsia" w:ascii="楷体_GB2312" w:hAnsi="Times New Roman" w:eastAsia="楷体_GB2312" w:cs="Times New Roman"/>
          <w:b/>
          <w:bCs w:val="0"/>
          <w:color w:val="auto"/>
          <w:kern w:val="2"/>
          <w:sz w:val="32"/>
          <w:lang w:val="en-US" w:eastAsia="zh-CN" w:bidi="ar-SA"/>
        </w:rPr>
        <w:t>6.4</w:t>
      </w:r>
      <w:r>
        <w:rPr>
          <w:rFonts w:ascii="楷体_GB2312" w:hAnsi="Times New Roman" w:eastAsia="楷体_GB2312" w:cs="Times New Roman"/>
          <w:b/>
          <w:bCs w:val="0"/>
          <w:color w:val="auto"/>
          <w:kern w:val="2"/>
          <w:sz w:val="32"/>
          <w:lang w:val="en-US" w:eastAsia="zh-CN" w:bidi="ar-SA"/>
        </w:rPr>
        <w:t>国家监控的化学品</w:t>
      </w:r>
      <w:bookmarkEnd w:id="72"/>
      <w:r>
        <w:rPr>
          <w:rFonts w:ascii="楷体_GB2312" w:hAnsi="Times New Roman" w:eastAsia="楷体_GB2312" w:cs="Times New Roman"/>
          <w:b/>
          <w:bCs w:val="0"/>
          <w:color w:val="auto"/>
          <w:kern w:val="2"/>
          <w:sz w:val="32"/>
          <w:lang w:val="en-US" w:eastAsia="zh-CN" w:bidi="ar-SA"/>
        </w:rPr>
        <w:t>辨识</w:t>
      </w:r>
      <w:r>
        <w:rPr>
          <w:rFonts w:hint="eastAsia" w:ascii="楷体_GB2312" w:hAnsi="Times New Roman" w:eastAsia="楷体_GB2312" w:cs="Times New Roman"/>
          <w:b/>
          <w:bCs w:val="0"/>
          <w:color w:val="auto"/>
          <w:kern w:val="2"/>
          <w:sz w:val="32"/>
          <w:lang w:val="en-US" w:eastAsia="zh-CN" w:bidi="ar-SA"/>
        </w:rPr>
        <w:t>结果</w:t>
      </w:r>
      <w:bookmarkEnd w:id="73"/>
    </w:p>
    <w:p>
      <w:pPr>
        <w:spacing w:line="360" w:lineRule="auto"/>
        <w:ind w:firstLine="425" w:firstLineChars="152"/>
        <w:jc w:val="both"/>
        <w:rPr>
          <w:rFonts w:ascii="楷体_GB2312" w:hAnsi="Times New Roman" w:eastAsia="楷体_GB2312" w:cs="Times New Roman"/>
          <w:bCs/>
          <w:color w:val="auto"/>
          <w:kern w:val="2"/>
          <w:sz w:val="28"/>
          <w:szCs w:val="28"/>
          <w:lang w:val="en-US" w:eastAsia="zh-CN" w:bidi="ar-SA"/>
        </w:rPr>
      </w:pPr>
      <w:r>
        <w:rPr>
          <w:rFonts w:ascii="宋体" w:hAnsi="宋体" w:eastAsia="宋体"/>
          <w:color w:val="auto"/>
          <w:sz w:val="28"/>
          <w:szCs w:val="28"/>
          <w:lang w:eastAsia="zh-CN"/>
        </w:rPr>
        <w:t>依据《中华人民共和国监控化学品管理条理》(国务院令第190号)，对照《各类监控化学品名录》(中华人民共和国化学工业部第11号令)和《列入第三类监控化学品的新增品种清单》(1998年6月14日以国家和石油化学工业局令第1号发布)可知，该公司没有生产、使用国家监控的化学品。</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74" w:name="_Toc1224"/>
      <w:r>
        <w:rPr>
          <w:rFonts w:hint="eastAsia" w:ascii="楷体_GB2312" w:hAnsi="Times New Roman" w:eastAsia="楷体_GB2312" w:cs="Times New Roman"/>
          <w:b/>
          <w:bCs w:val="0"/>
          <w:color w:val="auto"/>
          <w:kern w:val="2"/>
          <w:sz w:val="32"/>
          <w:lang w:val="en-US" w:eastAsia="zh-CN" w:bidi="ar-SA"/>
        </w:rPr>
        <w:t>6.5重点监管的化学品</w:t>
      </w:r>
      <w:r>
        <w:rPr>
          <w:rFonts w:ascii="楷体_GB2312" w:hAnsi="Times New Roman" w:eastAsia="楷体_GB2312" w:cs="Times New Roman"/>
          <w:b/>
          <w:bCs w:val="0"/>
          <w:color w:val="auto"/>
          <w:kern w:val="2"/>
          <w:sz w:val="32"/>
          <w:lang w:val="en-US" w:eastAsia="zh-CN" w:bidi="ar-SA"/>
        </w:rPr>
        <w:t>辨识</w:t>
      </w:r>
      <w:r>
        <w:rPr>
          <w:rFonts w:hint="eastAsia" w:ascii="楷体_GB2312" w:hAnsi="Times New Roman" w:eastAsia="楷体_GB2312" w:cs="Times New Roman"/>
          <w:b/>
          <w:bCs w:val="0"/>
          <w:color w:val="auto"/>
          <w:kern w:val="2"/>
          <w:sz w:val="32"/>
          <w:lang w:val="en-US" w:eastAsia="zh-CN" w:bidi="ar-SA"/>
        </w:rPr>
        <w:t>结果</w:t>
      </w:r>
      <w:bookmarkEnd w:id="74"/>
    </w:p>
    <w:p>
      <w:pPr>
        <w:tabs>
          <w:tab w:val="left" w:pos="0"/>
        </w:tabs>
        <w:spacing w:line="360" w:lineRule="auto"/>
        <w:ind w:firstLine="560" w:firstLineChars="200"/>
        <w:jc w:val="both"/>
        <w:rPr>
          <w:rFonts w:ascii="宋体" w:hAnsi="宋体" w:eastAsia="宋体"/>
          <w:color w:val="auto"/>
          <w:sz w:val="28"/>
          <w:szCs w:val="28"/>
        </w:rPr>
      </w:pPr>
      <w:bookmarkStart w:id="75" w:name="bookmark37"/>
      <w:r>
        <w:rPr>
          <w:rFonts w:hint="eastAsia" w:ascii="宋体" w:hAnsi="宋体" w:eastAsia="宋体"/>
          <w:color w:val="auto"/>
          <w:sz w:val="28"/>
          <w:szCs w:val="28"/>
        </w:rPr>
        <w:t>根据国家安全监管总局《关于公布首批重点监管的危险化学品名录的通知》（安监总管三[2011]95号）和《国家安全监管总局关于公布第二批重点监管危险化学品名录的通知》（安监总管三[2013]12号）的要求,对照首批、第二批重点监管的危险化学品名录，该公司</w:t>
      </w:r>
      <w:r>
        <w:rPr>
          <w:rFonts w:hint="eastAsia" w:ascii="宋体" w:hAnsi="宋体" w:eastAsia="宋体"/>
          <w:color w:val="auto"/>
          <w:sz w:val="28"/>
          <w:szCs w:val="28"/>
          <w:lang w:eastAsia="zh-CN"/>
        </w:rPr>
        <w:t>经营过程中使用</w:t>
      </w:r>
      <w:r>
        <w:rPr>
          <w:rFonts w:hint="eastAsia" w:ascii="宋体" w:hAnsi="宋体" w:eastAsia="宋体"/>
          <w:color w:val="auto"/>
          <w:sz w:val="28"/>
          <w:szCs w:val="28"/>
        </w:rPr>
        <w:t>的原</w:t>
      </w:r>
      <w:r>
        <w:rPr>
          <w:rFonts w:hint="eastAsia" w:ascii="宋体" w:hAnsi="宋体" w:eastAsia="宋体"/>
          <w:color w:val="auto"/>
          <w:sz w:val="28"/>
          <w:szCs w:val="28"/>
          <w:lang w:eastAsia="zh-CN"/>
        </w:rPr>
        <w:t>辅</w:t>
      </w:r>
      <w:r>
        <w:rPr>
          <w:rFonts w:hint="eastAsia" w:ascii="宋体" w:hAnsi="宋体" w:eastAsia="宋体"/>
          <w:color w:val="auto"/>
          <w:sz w:val="28"/>
          <w:szCs w:val="28"/>
        </w:rPr>
        <w:t>料</w:t>
      </w:r>
      <w:r>
        <w:rPr>
          <w:rFonts w:hint="eastAsia" w:ascii="宋体" w:hAnsi="宋体" w:eastAsia="宋体"/>
          <w:color w:val="auto"/>
          <w:sz w:val="28"/>
          <w:szCs w:val="28"/>
          <w:lang w:eastAsia="zh-CN"/>
        </w:rPr>
        <w:t>及产品不涉及</w:t>
      </w:r>
      <w:r>
        <w:rPr>
          <w:rFonts w:hint="eastAsia" w:ascii="宋体" w:hAnsi="宋体" w:eastAsia="宋体"/>
          <w:color w:val="auto"/>
          <w:sz w:val="28"/>
          <w:szCs w:val="28"/>
        </w:rPr>
        <w:t>重点监管的危险化学品。</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76" w:name="_Toc29777"/>
      <w:r>
        <w:rPr>
          <w:rFonts w:hint="eastAsia" w:ascii="楷体_GB2312" w:hAnsi="Times New Roman" w:eastAsia="楷体_GB2312" w:cs="Times New Roman"/>
          <w:b/>
          <w:bCs w:val="0"/>
          <w:color w:val="auto"/>
          <w:kern w:val="2"/>
          <w:sz w:val="32"/>
          <w:lang w:val="en-US" w:eastAsia="zh-CN" w:bidi="ar-SA"/>
        </w:rPr>
        <w:t>6.6</w:t>
      </w:r>
      <w:r>
        <w:rPr>
          <w:rFonts w:ascii="楷体_GB2312" w:hAnsi="Times New Roman" w:eastAsia="楷体_GB2312" w:cs="Times New Roman"/>
          <w:b/>
          <w:bCs w:val="0"/>
          <w:color w:val="auto"/>
          <w:kern w:val="2"/>
          <w:sz w:val="32"/>
          <w:lang w:val="en-US" w:eastAsia="zh-CN" w:bidi="ar-SA"/>
        </w:rPr>
        <w:t>易制毒化学品</w:t>
      </w:r>
      <w:bookmarkEnd w:id="75"/>
      <w:r>
        <w:rPr>
          <w:rFonts w:ascii="楷体_GB2312" w:hAnsi="Times New Roman" w:eastAsia="楷体_GB2312" w:cs="Times New Roman"/>
          <w:b/>
          <w:bCs w:val="0"/>
          <w:color w:val="auto"/>
          <w:kern w:val="2"/>
          <w:sz w:val="32"/>
          <w:lang w:val="en-US" w:eastAsia="zh-CN" w:bidi="ar-SA"/>
        </w:rPr>
        <w:t>辨识</w:t>
      </w:r>
      <w:r>
        <w:rPr>
          <w:rFonts w:hint="eastAsia" w:ascii="楷体_GB2312" w:hAnsi="Times New Roman" w:eastAsia="楷体_GB2312" w:cs="Times New Roman"/>
          <w:b/>
          <w:bCs w:val="0"/>
          <w:color w:val="auto"/>
          <w:kern w:val="2"/>
          <w:sz w:val="32"/>
          <w:lang w:val="en-US" w:eastAsia="zh-CN" w:bidi="ar-SA"/>
        </w:rPr>
        <w:t>结果</w:t>
      </w:r>
      <w:bookmarkEnd w:id="76"/>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依据《易制毒化学品管理条例》(中华人民共和国国务院令第445号)，该公司</w:t>
      </w:r>
      <w:r>
        <w:rPr>
          <w:rFonts w:hint="eastAsia" w:ascii="宋体" w:hAnsi="宋体" w:eastAsia="宋体"/>
          <w:color w:val="auto"/>
          <w:sz w:val="28"/>
          <w:szCs w:val="28"/>
          <w:lang w:eastAsia="zh-CN"/>
        </w:rPr>
        <w:t>的使用的硫酸属于易制毒化学品。</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77" w:name="_Toc29017"/>
      <w:r>
        <w:rPr>
          <w:rFonts w:hint="eastAsia" w:ascii="楷体_GB2312" w:hAnsi="Times New Roman" w:eastAsia="楷体_GB2312" w:cs="Times New Roman"/>
          <w:b/>
          <w:bCs w:val="0"/>
          <w:color w:val="auto"/>
          <w:kern w:val="2"/>
          <w:sz w:val="32"/>
          <w:lang w:val="en-US" w:eastAsia="zh-CN" w:bidi="ar-SA"/>
        </w:rPr>
        <w:t>6.7</w:t>
      </w:r>
      <w:r>
        <w:rPr>
          <w:rFonts w:ascii="楷体_GB2312" w:hAnsi="Times New Roman" w:eastAsia="楷体_GB2312" w:cs="Times New Roman"/>
          <w:b/>
          <w:bCs w:val="0"/>
          <w:color w:val="auto"/>
          <w:kern w:val="2"/>
          <w:sz w:val="32"/>
          <w:lang w:val="en-US" w:eastAsia="zh-CN" w:bidi="ar-SA"/>
        </w:rPr>
        <w:t>易制爆化学品辨识</w:t>
      </w:r>
      <w:r>
        <w:rPr>
          <w:rFonts w:hint="eastAsia" w:ascii="楷体_GB2312" w:hAnsi="Times New Roman" w:eastAsia="楷体_GB2312" w:cs="Times New Roman"/>
          <w:b/>
          <w:bCs w:val="0"/>
          <w:color w:val="auto"/>
          <w:kern w:val="2"/>
          <w:sz w:val="32"/>
          <w:lang w:val="en-US" w:eastAsia="zh-CN" w:bidi="ar-SA"/>
        </w:rPr>
        <w:t>结果</w:t>
      </w:r>
      <w:bookmarkEnd w:id="77"/>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根据《易制爆危险化学品名录(201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年版)》</w:t>
      </w:r>
      <w:bookmarkStart w:id="78" w:name="bookmark38"/>
      <w:r>
        <w:rPr>
          <w:rFonts w:ascii="宋体" w:hAnsi="宋体" w:eastAsia="宋体"/>
          <w:color w:val="auto"/>
          <w:sz w:val="28"/>
          <w:szCs w:val="28"/>
          <w:lang w:eastAsia="zh-CN"/>
        </w:rPr>
        <w:t>，该公司的原料及产品</w:t>
      </w:r>
      <w:r>
        <w:rPr>
          <w:rFonts w:hint="eastAsia" w:ascii="宋体" w:hAnsi="宋体" w:eastAsia="宋体"/>
          <w:color w:val="auto"/>
          <w:sz w:val="28"/>
          <w:szCs w:val="28"/>
          <w:lang w:eastAsia="zh-CN"/>
        </w:rPr>
        <w:t>均不属于</w:t>
      </w:r>
      <w:r>
        <w:rPr>
          <w:rFonts w:ascii="宋体" w:hAnsi="宋体" w:eastAsia="宋体"/>
          <w:color w:val="auto"/>
          <w:sz w:val="28"/>
          <w:szCs w:val="28"/>
          <w:lang w:eastAsia="zh-CN"/>
        </w:rPr>
        <w:t>易制爆危险化学品。</w:t>
      </w:r>
      <w:bookmarkEnd w:id="78"/>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79" w:name="bookmark39"/>
      <w:bookmarkStart w:id="80" w:name="_Toc9356"/>
      <w:r>
        <w:rPr>
          <w:rFonts w:hint="eastAsia" w:ascii="楷体_GB2312" w:hAnsi="Times New Roman" w:eastAsia="楷体_GB2312" w:cs="Times New Roman"/>
          <w:b/>
          <w:bCs w:val="0"/>
          <w:color w:val="auto"/>
          <w:kern w:val="2"/>
          <w:sz w:val="32"/>
          <w:lang w:val="en-US" w:eastAsia="zh-CN" w:bidi="ar-SA"/>
        </w:rPr>
        <w:t>6.8</w:t>
      </w:r>
      <w:r>
        <w:rPr>
          <w:rFonts w:ascii="楷体_GB2312" w:hAnsi="Times New Roman" w:eastAsia="楷体_GB2312" w:cs="Times New Roman"/>
          <w:b/>
          <w:bCs w:val="0"/>
          <w:color w:val="auto"/>
          <w:kern w:val="2"/>
          <w:sz w:val="32"/>
          <w:lang w:val="en-US" w:eastAsia="zh-CN" w:bidi="ar-SA"/>
        </w:rPr>
        <w:t>剧毒化学品辨识</w:t>
      </w:r>
      <w:bookmarkEnd w:id="79"/>
      <w:r>
        <w:rPr>
          <w:rFonts w:hint="eastAsia" w:ascii="楷体_GB2312" w:hAnsi="Times New Roman" w:eastAsia="楷体_GB2312" w:cs="Times New Roman"/>
          <w:b/>
          <w:bCs w:val="0"/>
          <w:color w:val="auto"/>
          <w:kern w:val="2"/>
          <w:sz w:val="32"/>
          <w:lang w:val="en-US" w:eastAsia="zh-CN" w:bidi="ar-SA"/>
        </w:rPr>
        <w:t>结果</w:t>
      </w:r>
      <w:bookmarkEnd w:id="80"/>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根据《危险化学品目录(2015版)》(安全监管总局、工业和信息化部、公安部等公告2015年第5号)，该公司的原料及产品中没有剧毒化学品。</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81" w:name="_Toc9344"/>
      <w:r>
        <w:rPr>
          <w:rFonts w:hint="eastAsia" w:ascii="楷体_GB2312" w:hAnsi="Times New Roman" w:eastAsia="楷体_GB2312" w:cs="Times New Roman"/>
          <w:b/>
          <w:bCs w:val="0"/>
          <w:color w:val="auto"/>
          <w:kern w:val="2"/>
          <w:sz w:val="32"/>
          <w:lang w:val="en-US" w:eastAsia="zh-CN" w:bidi="ar-SA"/>
        </w:rPr>
        <w:t>6.9</w:t>
      </w:r>
      <w:r>
        <w:rPr>
          <w:rFonts w:ascii="楷体_GB2312" w:hAnsi="Times New Roman" w:eastAsia="楷体_GB2312" w:cs="Times New Roman"/>
          <w:b/>
          <w:bCs w:val="0"/>
          <w:color w:val="auto"/>
          <w:kern w:val="2"/>
          <w:sz w:val="32"/>
          <w:lang w:val="en-US" w:eastAsia="zh-CN" w:bidi="ar-SA"/>
        </w:rPr>
        <w:t>重大危险源辨识结果</w:t>
      </w:r>
      <w:bookmarkEnd w:id="70"/>
      <w:bookmarkEnd w:id="81"/>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依据《危险化学品重大危险源辨识》(GB18218-2018)可知，该公司危险化学品不构成重大危险源。</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82" w:name="bookmark63"/>
      <w:bookmarkStart w:id="83" w:name="_Toc20138"/>
      <w:r>
        <w:rPr>
          <w:rFonts w:ascii="楷体_GB2312" w:hAnsi="Times New Roman" w:eastAsia="楷体_GB2312" w:cs="Times New Roman"/>
          <w:b/>
          <w:bCs w:val="0"/>
          <w:color w:val="auto"/>
          <w:kern w:val="2"/>
          <w:sz w:val="32"/>
          <w:lang w:val="en-US" w:eastAsia="zh-CN" w:bidi="ar-SA"/>
        </w:rPr>
        <w:t>6.</w:t>
      </w:r>
      <w:r>
        <w:rPr>
          <w:rFonts w:hint="eastAsia" w:ascii="楷体_GB2312" w:hAnsi="Times New Roman" w:eastAsia="楷体_GB2312" w:cs="Times New Roman"/>
          <w:b/>
          <w:bCs w:val="0"/>
          <w:color w:val="auto"/>
          <w:kern w:val="2"/>
          <w:sz w:val="32"/>
          <w:lang w:val="en-US" w:eastAsia="zh-CN" w:bidi="ar-SA"/>
        </w:rPr>
        <w:t>10</w:t>
      </w:r>
      <w:r>
        <w:rPr>
          <w:rFonts w:ascii="楷体_GB2312" w:hAnsi="Times New Roman" w:eastAsia="楷体_GB2312" w:cs="Times New Roman"/>
          <w:b/>
          <w:bCs w:val="0"/>
          <w:color w:val="auto"/>
          <w:kern w:val="2"/>
          <w:sz w:val="32"/>
          <w:lang w:val="en-US" w:eastAsia="zh-CN" w:bidi="ar-SA"/>
        </w:rPr>
        <w:t>生产装置、设施与周边环境的影响分析结果</w:t>
      </w:r>
      <w:bookmarkEnd w:id="82"/>
      <w:bookmarkEnd w:id="83"/>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84" w:name="bookmark64"/>
      <w:r>
        <w:rPr>
          <w:rFonts w:ascii="宋体" w:hAnsi="宋体" w:eastAsia="宋体" w:cs="Times New Roman"/>
          <w:b/>
          <w:bCs w:val="0"/>
          <w:color w:val="auto"/>
          <w:kern w:val="2"/>
          <w:sz w:val="28"/>
          <w:szCs w:val="28"/>
          <w:lang w:val="en-US" w:eastAsia="zh-CN" w:bidi="ar-SA"/>
        </w:rPr>
        <w:t>6.</w:t>
      </w:r>
      <w:r>
        <w:rPr>
          <w:rFonts w:hint="eastAsia" w:ascii="宋体" w:hAnsi="宋体" w:eastAsia="宋体" w:cs="Times New Roman"/>
          <w:b/>
          <w:bCs w:val="0"/>
          <w:color w:val="auto"/>
          <w:kern w:val="2"/>
          <w:sz w:val="28"/>
          <w:szCs w:val="28"/>
          <w:lang w:val="en-US" w:eastAsia="zh-CN" w:bidi="ar-SA"/>
        </w:rPr>
        <w:t>10</w:t>
      </w:r>
      <w:r>
        <w:rPr>
          <w:rFonts w:ascii="宋体" w:hAnsi="宋体" w:eastAsia="宋体" w:cs="Times New Roman"/>
          <w:b/>
          <w:bCs w:val="0"/>
          <w:color w:val="auto"/>
          <w:kern w:val="2"/>
          <w:sz w:val="28"/>
          <w:szCs w:val="28"/>
          <w:lang w:val="en-US" w:eastAsia="zh-CN" w:bidi="ar-SA"/>
        </w:rPr>
        <w:t>.1生产装置、设施的危险、有害因素对生产单位周边社区的影响</w:t>
      </w:r>
      <w:bookmarkEnd w:id="84"/>
    </w:p>
    <w:p>
      <w:pPr>
        <w:spacing w:line="360" w:lineRule="auto"/>
        <w:ind w:firstLine="425" w:firstLineChars="152"/>
        <w:jc w:val="both"/>
        <w:rPr>
          <w:rFonts w:ascii="宋体" w:hAnsi="宋体" w:eastAsia="宋体"/>
          <w:color w:val="auto"/>
          <w:sz w:val="28"/>
          <w:szCs w:val="28"/>
          <w:lang w:val="zh-TW" w:eastAsia="zh-TW"/>
        </w:rPr>
      </w:pPr>
      <w:bookmarkStart w:id="85" w:name="bookmark65"/>
      <w:r>
        <w:rPr>
          <w:rFonts w:hint="eastAsia" w:ascii="宋体" w:hAnsi="宋体" w:eastAsia="宋体"/>
          <w:color w:val="auto"/>
          <w:sz w:val="28"/>
          <w:szCs w:val="28"/>
        </w:rPr>
        <w:t>该公司主要危险源为</w:t>
      </w: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及</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，主要的危险是火灾爆炸事故，</w:t>
      </w: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及</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发生火灾爆炸事故会对周边环境产生影响，但</w:t>
      </w: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和</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于周边环境、道路等的防火间距均满足规范要求，且厂区周边设置有实体围墙隔开，因此，</w:t>
      </w: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及</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发生火灾爆炸事故对周边环境的影响不大。</w:t>
      </w:r>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6.</w:t>
      </w:r>
      <w:r>
        <w:rPr>
          <w:rFonts w:hint="eastAsia" w:ascii="宋体" w:hAnsi="宋体" w:eastAsia="宋体" w:cs="Times New Roman"/>
          <w:b/>
          <w:bCs w:val="0"/>
          <w:color w:val="auto"/>
          <w:kern w:val="2"/>
          <w:sz w:val="28"/>
          <w:szCs w:val="28"/>
          <w:lang w:val="en-US" w:eastAsia="zh-CN" w:bidi="ar-SA"/>
        </w:rPr>
        <w:t>10</w:t>
      </w:r>
      <w:r>
        <w:rPr>
          <w:rFonts w:ascii="宋体" w:hAnsi="宋体" w:eastAsia="宋体" w:cs="Times New Roman"/>
          <w:b/>
          <w:bCs w:val="0"/>
          <w:color w:val="auto"/>
          <w:kern w:val="2"/>
          <w:sz w:val="28"/>
          <w:szCs w:val="28"/>
          <w:lang w:val="en-US" w:eastAsia="zh-CN" w:bidi="ar-SA"/>
        </w:rPr>
        <w:t>.2生产单位周边对生产装置、设施的影响</w:t>
      </w:r>
      <w:bookmarkEnd w:id="85"/>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周边环境对该公司生产装置、设施的影响主要是各类点火源，主要影响区域是厂区内的</w:t>
      </w: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及</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。该公司厂区的四周均无危险化学品生产、经营、储存企业，且设置有围墙隔开，对该公司的影响不大。</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86" w:name="bookmark66"/>
      <w:r>
        <w:rPr>
          <w:rFonts w:ascii="宋体" w:hAnsi="宋体" w:eastAsia="宋体" w:cs="Times New Roman"/>
          <w:b/>
          <w:bCs w:val="0"/>
          <w:color w:val="auto"/>
          <w:kern w:val="2"/>
          <w:sz w:val="28"/>
          <w:szCs w:val="28"/>
          <w:lang w:val="en-US" w:eastAsia="zh-CN" w:bidi="ar-SA"/>
        </w:rPr>
        <w:t>6.</w:t>
      </w:r>
      <w:r>
        <w:rPr>
          <w:rFonts w:hint="eastAsia" w:ascii="宋体" w:hAnsi="宋体" w:eastAsia="宋体" w:cs="Times New Roman"/>
          <w:b/>
          <w:bCs w:val="0"/>
          <w:color w:val="auto"/>
          <w:kern w:val="2"/>
          <w:sz w:val="28"/>
          <w:szCs w:val="28"/>
          <w:lang w:val="en-US" w:eastAsia="zh-CN" w:bidi="ar-SA"/>
        </w:rPr>
        <w:t>10</w:t>
      </w:r>
      <w:r>
        <w:rPr>
          <w:rFonts w:ascii="宋体" w:hAnsi="宋体" w:eastAsia="宋体" w:cs="Times New Roman"/>
          <w:b/>
          <w:bCs w:val="0"/>
          <w:color w:val="auto"/>
          <w:kern w:val="2"/>
          <w:sz w:val="28"/>
          <w:szCs w:val="28"/>
          <w:lang w:val="en-US" w:eastAsia="zh-CN" w:bidi="ar-SA"/>
        </w:rPr>
        <w:t>.3自然条件对生产装置、设施的影响</w:t>
      </w:r>
      <w:bookmarkEnd w:id="86"/>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雷暴影响：该公司所在地区全年雷暴天数较多，若防雷设施失效，雷雨天气里，建筑物、生产装置、设施和人员有遭受雷击的危险。但该公司生产车间及仓库等建筑物均已装设防雷装置，取得了《广东省防雷装置合格证》，雷击对该公司的影响不大。</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台风影响：该公司所在地每年台风登陆有多次，强热带风暴气旋的风力强劲，最高风速3</w:t>
      </w:r>
      <w:r>
        <w:rPr>
          <w:rFonts w:hint="eastAsia" w:ascii="宋体" w:hAnsi="宋体" w:eastAsia="宋体"/>
          <w:color w:val="auto"/>
          <w:sz w:val="28"/>
          <w:szCs w:val="28"/>
          <w:lang w:val="en-US" w:eastAsia="zh-CN"/>
        </w:rPr>
        <w:t>3</w:t>
      </w:r>
      <w:r>
        <w:rPr>
          <w:rFonts w:ascii="宋体" w:hAnsi="宋体" w:eastAsia="宋体"/>
          <w:color w:val="auto"/>
          <w:sz w:val="28"/>
          <w:szCs w:val="28"/>
        </w:rPr>
        <w:t>m/s，对人和建筑物安全有一定的威胁。该公司的厂区建筑物、生产装置、设施有可能受台风影响。</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暴雨影响：本地位于南亚热带强降水地区，夏季多暴雨，如下水道阻塞，水泄不及，可能造成内涝积水，洪水灾害为本地区的主要自然灾害。</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高温天气影响：该地区夏季最高气温37.8℃，高气温会使密闭容器内压增加，易发生爆裂，高温天气容易引起人员中暑，企业应加强夏季防暑降温工作。</w:t>
      </w:r>
    </w:p>
    <w:p>
      <w:pPr>
        <w:spacing w:line="360" w:lineRule="auto"/>
        <w:ind w:firstLine="425" w:firstLineChars="152"/>
        <w:rPr>
          <w:rFonts w:ascii="宋体" w:hAnsi="宋体" w:eastAsia="宋体"/>
          <w:color w:val="auto"/>
          <w:sz w:val="28"/>
          <w:szCs w:val="28"/>
        </w:rPr>
      </w:pPr>
    </w:p>
    <w:p>
      <w:pPr>
        <w:pStyle w:val="3"/>
        <w:spacing w:after="120"/>
        <w:rPr>
          <w:snapToGrid/>
          <w:color w:val="auto"/>
        </w:rPr>
      </w:pPr>
      <w:bookmarkStart w:id="87" w:name="bookmark67"/>
      <w:bookmarkStart w:id="88" w:name="bookmark68"/>
      <w:r>
        <w:rPr>
          <w:snapToGrid/>
          <w:color w:val="auto"/>
        </w:rPr>
        <w:br w:type="page"/>
      </w:r>
    </w:p>
    <w:p>
      <w:pPr>
        <w:pStyle w:val="3"/>
        <w:spacing w:after="120" w:line="360" w:lineRule="auto"/>
        <w:rPr>
          <w:b/>
          <w:bCs/>
          <w:snapToGrid/>
          <w:color w:val="auto"/>
        </w:rPr>
      </w:pPr>
      <w:bookmarkStart w:id="89" w:name="_Toc11785"/>
      <w:r>
        <w:rPr>
          <w:b/>
          <w:bCs/>
          <w:snapToGrid/>
          <w:color w:val="auto"/>
        </w:rPr>
        <w:t>7定性、定量分析安全评价内容的结果</w:t>
      </w:r>
      <w:bookmarkEnd w:id="87"/>
      <w:bookmarkEnd w:id="88"/>
      <w:bookmarkEnd w:id="89"/>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90" w:name="_Toc8838"/>
      <w:bookmarkStart w:id="91" w:name="bookmark69"/>
      <w:bookmarkStart w:id="92" w:name="bookmark70"/>
      <w:r>
        <w:rPr>
          <w:rFonts w:ascii="楷体_GB2312" w:hAnsi="Times New Roman" w:eastAsia="楷体_GB2312" w:cs="Times New Roman"/>
          <w:b/>
          <w:bCs/>
          <w:color w:val="auto"/>
          <w:kern w:val="2"/>
          <w:sz w:val="32"/>
          <w:lang w:val="en-US" w:eastAsia="zh-CN" w:bidi="ar-SA"/>
        </w:rPr>
        <w:t>7.1安全检查表分析结果</w:t>
      </w:r>
      <w:bookmarkEnd w:id="90"/>
    </w:p>
    <w:p>
      <w:pPr>
        <w:spacing w:line="360" w:lineRule="auto"/>
        <w:jc w:val="both"/>
        <w:outlineLvl w:val="2"/>
        <w:rPr>
          <w:rFonts w:ascii="宋体" w:hAnsi="宋体" w:eastAsia="宋体" w:cs="Times New Roman"/>
          <w:b/>
          <w:bCs/>
          <w:color w:val="auto"/>
          <w:kern w:val="2"/>
          <w:sz w:val="28"/>
          <w:szCs w:val="28"/>
          <w:lang w:val="en-US" w:eastAsia="zh-CN" w:bidi="ar-SA"/>
        </w:rPr>
      </w:pPr>
      <w:r>
        <w:rPr>
          <w:rFonts w:ascii="宋体" w:hAnsi="宋体" w:eastAsia="宋体" w:cs="Times New Roman"/>
          <w:b/>
          <w:bCs/>
          <w:color w:val="auto"/>
          <w:kern w:val="2"/>
          <w:sz w:val="28"/>
          <w:szCs w:val="28"/>
          <w:lang w:val="en-US" w:eastAsia="zh-CN" w:bidi="ar-SA"/>
        </w:rPr>
        <w:t>7.1.1安全管理方面检查评价结果</w:t>
      </w:r>
      <w:bookmarkEnd w:id="91"/>
      <w:bookmarkEnd w:id="92"/>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根据《中华人民共和国安全生产法》(中华人民共和国主席令第13号)、《安全生产许可证条例》(国务院令第397号)、《危险化学品安全管理条例》(中华人民共和国国务院令第591号，国务院令645号修订)等相关法律、法规的要求对企业的安全管理制度、安全管理组织、从业人员要求、事故预防与处理、安全生产投入、危险物品安全管理、安全生产投入等条件进行了检查评价，检查结果符合规范要求。</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93" w:name="bookmark71"/>
      <w:r>
        <w:rPr>
          <w:rFonts w:ascii="宋体" w:hAnsi="宋体" w:eastAsia="宋体" w:cs="Times New Roman"/>
          <w:b/>
          <w:bCs w:val="0"/>
          <w:color w:val="auto"/>
          <w:kern w:val="2"/>
          <w:sz w:val="28"/>
          <w:szCs w:val="28"/>
          <w:lang w:val="en-US" w:eastAsia="zh-CN" w:bidi="ar-SA"/>
        </w:rPr>
        <w:t>7.1.2生产场所安全检查评价结果</w:t>
      </w:r>
      <w:bookmarkEnd w:id="93"/>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依据《生产设备安全卫生设计总则》(GB5083-1999)、《生产过程安全卫生要求总则》(GB/T12801-2008)、《化工企业总图运输设计规范》(GB50489-2009)、《工业企业总平面设计规范》(GB50187-2012)、</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rPr>
        <w:t>等标准及《危险化学品安全管理条例》相关内容通过对该公司的平面布局、建筑、消防、防雷和电气设施、生产设备安全卫生要求、生产过程安全卫生要求等情况进行检查可知，检查结果符合规范要求。</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94" w:name="bookmark72"/>
      <w:r>
        <w:rPr>
          <w:rFonts w:ascii="宋体" w:hAnsi="宋体" w:eastAsia="宋体" w:cs="Times New Roman"/>
          <w:b/>
          <w:bCs w:val="0"/>
          <w:color w:val="auto"/>
          <w:kern w:val="2"/>
          <w:sz w:val="28"/>
          <w:szCs w:val="28"/>
          <w:lang w:val="en-US" w:eastAsia="zh-CN" w:bidi="ar-SA"/>
        </w:rPr>
        <w:t>7.1.3储存场所检查评价结果</w:t>
      </w:r>
      <w:bookmarkEnd w:id="94"/>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根据《常用化学危险品贮存通则》(GB15603-1995)、《易燃易爆性商品储存养护技术条件》(GB17914-2013)、《仓库防火安全管理规则》(公安部令第6号)、</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rPr>
        <w:t>对该公司危化品仓库建筑、储存管理、电器、火源、消防设施配备及管理等方面进行了安全检查，所有检查项均符合要求。</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95" w:name="bookmark74"/>
      <w:bookmarkStart w:id="96" w:name="bookmark73"/>
      <w:r>
        <w:rPr>
          <w:rFonts w:ascii="宋体" w:hAnsi="宋体" w:eastAsia="宋体" w:cs="Times New Roman"/>
          <w:b/>
          <w:bCs w:val="0"/>
          <w:color w:val="auto"/>
          <w:kern w:val="2"/>
          <w:sz w:val="28"/>
          <w:szCs w:val="28"/>
          <w:lang w:val="en-US" w:eastAsia="zh-CN" w:bidi="ar-SA"/>
        </w:rPr>
        <w:t>7.1.4主要</w:t>
      </w:r>
      <w:r>
        <w:rPr>
          <w:rFonts w:hint="eastAsia" w:ascii="宋体" w:hAnsi="宋体" w:eastAsia="宋体" w:cs="Times New Roman"/>
          <w:b/>
          <w:bCs w:val="0"/>
          <w:color w:val="auto"/>
          <w:kern w:val="2"/>
          <w:sz w:val="28"/>
          <w:szCs w:val="28"/>
          <w:lang w:val="en-US" w:eastAsia="zh-CN" w:bidi="ar-SA"/>
        </w:rPr>
        <w:t>建</w:t>
      </w:r>
      <w:r>
        <w:rPr>
          <w:rFonts w:ascii="宋体" w:hAnsi="宋体" w:eastAsia="宋体" w:cs="Times New Roman"/>
          <w:b/>
          <w:bCs w:val="0"/>
          <w:color w:val="auto"/>
          <w:kern w:val="2"/>
          <w:sz w:val="28"/>
          <w:szCs w:val="28"/>
          <w:lang w:val="en-US" w:eastAsia="zh-CN" w:bidi="ar-SA"/>
        </w:rPr>
        <w:t>(构)筑物防火间距检查评价结果</w:t>
      </w:r>
      <w:bookmarkEnd w:id="95"/>
      <w:bookmarkEnd w:id="96"/>
    </w:p>
    <w:p>
      <w:pPr>
        <w:spacing w:line="360" w:lineRule="auto"/>
        <w:ind w:firstLine="425" w:firstLineChars="152"/>
        <w:jc w:val="both"/>
        <w:rPr>
          <w:rFonts w:ascii="宋体" w:hAnsi="宋体" w:eastAsia="PMingLiU"/>
          <w:color w:val="auto"/>
          <w:sz w:val="28"/>
          <w:szCs w:val="28"/>
        </w:rPr>
      </w:pPr>
      <w:r>
        <w:rPr>
          <w:rFonts w:ascii="宋体" w:hAnsi="宋体" w:eastAsia="宋体"/>
          <w:color w:val="auto"/>
          <w:sz w:val="28"/>
          <w:szCs w:val="28"/>
        </w:rPr>
        <w:t>根据</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rPr>
        <w:t>，通过对该公司主要建(构)筑物的防火间距进行检查，厂区的平面布局符合规范要求的防火间距要求。</w:t>
      </w:r>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7.1.5申请安全生产许可证条件检查评价结果</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根据《危险化学品生产企业安全生产许可证审查书》(国家安全生产监督管理局“安监管危化字”[2004]110号)、《危险化学品生产企业安全生产许可证实施办法》(安监总局令第41号，安监总局令第79号修改)、《关于认真贯彻危险化学品生产企业安全生产许可证实施办法的通知》(粤安监管三[2011]44号)，对企业安全生产许可条件进行逐项检查，对企业安全生产许可条件进行逐项检查，所有检查项均符合要求。</w:t>
      </w:r>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7.1.</w:t>
      </w:r>
      <w:r>
        <w:rPr>
          <w:rFonts w:hint="eastAsia" w:ascii="宋体" w:hAnsi="宋体" w:eastAsia="宋体" w:cs="Times New Roman"/>
          <w:b/>
          <w:bCs w:val="0"/>
          <w:color w:val="auto"/>
          <w:kern w:val="2"/>
          <w:sz w:val="28"/>
          <w:szCs w:val="28"/>
          <w:lang w:val="en-US" w:eastAsia="zh-CN" w:bidi="ar-SA"/>
        </w:rPr>
        <w:t>6重大生产安全事故隐患判定标准（试行）符合性检查结果</w:t>
      </w:r>
    </w:p>
    <w:p>
      <w:pPr>
        <w:pStyle w:val="20"/>
        <w:spacing w:line="360" w:lineRule="auto"/>
        <w:ind w:firstLine="560" w:firstLineChars="200"/>
        <w:jc w:val="both"/>
        <w:rPr>
          <w:rFonts w:cs="Microsoft JhengHei Light"/>
          <w:color w:val="auto"/>
          <w:kern w:val="0"/>
          <w:szCs w:val="28"/>
          <w:lang w:bidi="zh-TW"/>
        </w:rPr>
      </w:pPr>
      <w:r>
        <w:rPr>
          <w:rFonts w:hint="eastAsia" w:cs="Microsoft JhengHei Light"/>
          <w:color w:val="auto"/>
          <w:kern w:val="0"/>
          <w:szCs w:val="28"/>
          <w:lang w:bidi="zh-TW"/>
        </w:rPr>
        <w:t>根据《化工和危险化学品生产经营单位重大生产安全事故隐患判定标准（试行）》（安监总管三[2017]121号）内容，逐条进行检查评价，该公司不存在《化工和危险化学品生产经营单位重大生产安全事故隐患判定标准（试行）》规定的重大生产安全事故隐患。</w:t>
      </w:r>
    </w:p>
    <w:p>
      <w:pPr>
        <w:spacing w:line="360" w:lineRule="auto"/>
        <w:jc w:val="both"/>
        <w:outlineLvl w:val="2"/>
        <w:rPr>
          <w:rFonts w:ascii="宋体" w:hAnsi="宋体" w:eastAsia="宋体" w:cs="Times New Roman"/>
          <w:b/>
          <w:bCs w:val="0"/>
          <w:color w:val="auto"/>
          <w:kern w:val="2"/>
          <w:sz w:val="28"/>
          <w:szCs w:val="28"/>
          <w:lang w:val="en-US" w:eastAsia="zh-CN" w:bidi="ar-SA"/>
        </w:rPr>
      </w:pPr>
      <w:r>
        <w:rPr>
          <w:rFonts w:ascii="宋体" w:hAnsi="宋体" w:eastAsia="宋体" w:cs="Times New Roman"/>
          <w:b/>
          <w:bCs w:val="0"/>
          <w:color w:val="auto"/>
          <w:kern w:val="2"/>
          <w:sz w:val="28"/>
          <w:szCs w:val="28"/>
          <w:lang w:val="en-US" w:eastAsia="zh-CN" w:bidi="ar-SA"/>
        </w:rPr>
        <w:t>7.1.</w:t>
      </w:r>
      <w:r>
        <w:rPr>
          <w:rFonts w:hint="eastAsia" w:ascii="宋体" w:hAnsi="宋体" w:eastAsia="宋体" w:cs="Times New Roman"/>
          <w:b/>
          <w:bCs w:val="0"/>
          <w:color w:val="auto"/>
          <w:kern w:val="2"/>
          <w:sz w:val="28"/>
          <w:szCs w:val="28"/>
          <w:lang w:val="en-US" w:eastAsia="zh-CN" w:bidi="ar-SA"/>
        </w:rPr>
        <w:t>7安全风险评估诊断分级评价结果</w:t>
      </w:r>
    </w:p>
    <w:p>
      <w:pPr>
        <w:pStyle w:val="20"/>
        <w:spacing w:line="360" w:lineRule="auto"/>
        <w:ind w:firstLine="560" w:firstLineChars="200"/>
        <w:jc w:val="both"/>
        <w:rPr>
          <w:rFonts w:cs="宋体"/>
          <w:color w:val="auto"/>
          <w:szCs w:val="28"/>
        </w:rPr>
      </w:pPr>
      <w:r>
        <w:rPr>
          <w:rFonts w:hint="eastAsia"/>
          <w:color w:val="auto"/>
          <w:szCs w:val="28"/>
        </w:rPr>
        <w:t>根据应急管理部关于印发危险化学品生产储存企业安全风险评估诊断分级指南（试行）的通知（应急[2018]19号）和广东省安全生产监督管理局转发应急管理部关于印发危险化学品生产储存企业安全风险评估诊断分级指南（试行）的通知（粤安监管三〔2018〕9号）的内容进行检查分析，该公司的安全风险分级为蓝色。</w:t>
      </w:r>
    </w:p>
    <w:p>
      <w:pPr>
        <w:spacing w:line="360" w:lineRule="auto"/>
        <w:jc w:val="both"/>
        <w:outlineLvl w:val="2"/>
        <w:rPr>
          <w:rFonts w:ascii="宋体" w:hAnsi="宋体" w:eastAsia="宋体" w:cs="Times New Roman"/>
          <w:b/>
          <w:bCs w:val="0"/>
          <w:color w:val="auto"/>
          <w:kern w:val="2"/>
          <w:sz w:val="28"/>
          <w:szCs w:val="28"/>
          <w:lang w:val="en-US" w:eastAsia="zh-CN" w:bidi="ar-SA"/>
        </w:rPr>
      </w:pPr>
      <w:bookmarkStart w:id="97" w:name="bookmark75"/>
      <w:r>
        <w:rPr>
          <w:rFonts w:ascii="宋体" w:hAnsi="宋体" w:eastAsia="宋体" w:cs="Times New Roman"/>
          <w:b/>
          <w:bCs w:val="0"/>
          <w:color w:val="auto"/>
          <w:kern w:val="2"/>
          <w:sz w:val="28"/>
          <w:szCs w:val="28"/>
          <w:lang w:val="en-US" w:eastAsia="zh-CN" w:bidi="ar-SA"/>
        </w:rPr>
        <w:t>7.1.</w:t>
      </w:r>
      <w:r>
        <w:rPr>
          <w:rFonts w:hint="eastAsia" w:ascii="宋体" w:hAnsi="宋体" w:eastAsia="宋体" w:cs="Times New Roman"/>
          <w:b/>
          <w:bCs w:val="0"/>
          <w:color w:val="auto"/>
          <w:kern w:val="2"/>
          <w:sz w:val="28"/>
          <w:szCs w:val="28"/>
          <w:lang w:val="en-US" w:eastAsia="zh-CN" w:bidi="ar-SA"/>
        </w:rPr>
        <w:t>8</w:t>
      </w:r>
      <w:r>
        <w:rPr>
          <w:rFonts w:ascii="宋体" w:hAnsi="宋体" w:eastAsia="宋体" w:cs="Times New Roman"/>
          <w:b/>
          <w:bCs w:val="0"/>
          <w:color w:val="auto"/>
          <w:kern w:val="2"/>
          <w:sz w:val="28"/>
          <w:szCs w:val="28"/>
          <w:lang w:val="en-US" w:eastAsia="zh-CN" w:bidi="ar-SA"/>
        </w:rPr>
        <w:t>安全检查表评价结果小结</w:t>
      </w:r>
      <w:bookmarkEnd w:id="97"/>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通过对企业的安全管理、生产区、储存区、平面布局、建筑间防火间距、对危险化学品生产企业的安全生产许可条件</w:t>
      </w:r>
      <w:r>
        <w:rPr>
          <w:rFonts w:hint="eastAsia" w:ascii="宋体" w:hAnsi="宋体" w:eastAsia="宋体"/>
          <w:color w:val="auto"/>
          <w:sz w:val="28"/>
          <w:szCs w:val="28"/>
          <w:lang w:eastAsia="zh-CN"/>
        </w:rPr>
        <w:t>等</w:t>
      </w:r>
      <w:r>
        <w:rPr>
          <w:rFonts w:ascii="宋体" w:hAnsi="宋体" w:eastAsia="宋体"/>
          <w:color w:val="auto"/>
          <w:sz w:val="28"/>
          <w:szCs w:val="28"/>
        </w:rPr>
        <w:t>要求编制安全检查表检查，所有检查项均符合要求。</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98" w:name="_Toc18613"/>
      <w:bookmarkStart w:id="99" w:name="bookmark76"/>
      <w:r>
        <w:rPr>
          <w:rFonts w:ascii="楷体_GB2312" w:hAnsi="Times New Roman" w:eastAsia="楷体_GB2312" w:cs="Times New Roman"/>
          <w:b/>
          <w:bCs w:val="0"/>
          <w:color w:val="auto"/>
          <w:kern w:val="2"/>
          <w:sz w:val="32"/>
          <w:lang w:val="en-US" w:eastAsia="zh-CN" w:bidi="ar-SA"/>
        </w:rPr>
        <w:t>7.2事故树分析结果</w:t>
      </w:r>
      <w:bookmarkEnd w:id="98"/>
      <w:bookmarkEnd w:id="99"/>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由事故树分析可知：</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可燃液体的蒸气浓度达到爆炸极限是生产车间发生燃烧爆炸事故的最重要条件，虽然设置有强制通风，但在通风不良的时候还是比较容易使可燃液体蒸气浓度达到爆炸极限，一旦遇到明火、热源就有可能导致火灾爆炸事故。</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加强生产车间的安全管理，严格控制火源，严禁吸烟和动用明火，防止铁器撞击及静电火花的产生，设备检修后使用过的棉布等物品要妥善处理，不能随意丢弃，车间内电气装置要符合防火防爆要求。</w:t>
      </w:r>
    </w:p>
    <w:p>
      <w:pPr>
        <w:spacing w:line="360" w:lineRule="auto"/>
        <w:ind w:firstLine="425" w:firstLineChars="152"/>
        <w:jc w:val="both"/>
        <w:rPr>
          <w:rFonts w:ascii="宋体" w:hAnsi="宋体" w:eastAsia="宋体"/>
          <w:color w:val="auto"/>
          <w:sz w:val="28"/>
          <w:szCs w:val="28"/>
        </w:rPr>
      </w:pPr>
      <w:bookmarkStart w:id="100" w:name="bookmark77"/>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车间内操作人员不能穿带有铁钉的鞋子作业，不能穿化纤衣服。</w:t>
      </w:r>
      <w:bookmarkEnd w:id="100"/>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经常检查防静电接地是否完好，易燃液体流速不要过快，防止产生静电。</w:t>
      </w:r>
    </w:p>
    <w:p>
      <w:pPr>
        <w:spacing w:line="360" w:lineRule="auto"/>
        <w:ind w:firstLine="425" w:firstLineChars="152"/>
        <w:jc w:val="both"/>
        <w:rPr>
          <w:rFonts w:ascii="宋体" w:hAnsi="宋体" w:eastAsia="宋体"/>
          <w:color w:val="auto"/>
          <w:sz w:val="28"/>
          <w:szCs w:val="28"/>
        </w:rPr>
      </w:pPr>
      <w:r>
        <w:rPr>
          <w:rFonts w:ascii="宋体" w:hAnsi="宋体" w:eastAsia="PMingLiU"/>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各种容器的密封在防止燃爆中具有重要作用，生产过程中要严格遵守安全操作规程。</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从事故树分析可以看出，导致生产车间燃爆的因素虽然很多，但只要严格执行安全管理制度和安全操作规程，并采取相应技术措施，生产车间燃烧爆炸是可以预防的。</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01" w:name="_Toc22753"/>
      <w:bookmarkStart w:id="102" w:name="bookmark78"/>
      <w:r>
        <w:rPr>
          <w:rFonts w:ascii="楷体_GB2312" w:hAnsi="Times New Roman" w:eastAsia="楷体_GB2312" w:cs="Times New Roman"/>
          <w:b/>
          <w:bCs w:val="0"/>
          <w:color w:val="auto"/>
          <w:kern w:val="2"/>
          <w:sz w:val="32"/>
          <w:lang w:val="en-US" w:eastAsia="zh-CN" w:bidi="ar-SA"/>
        </w:rPr>
        <w:t>7.3道化学火灾爆炸模拟分析结果</w:t>
      </w:r>
      <w:bookmarkEnd w:id="101"/>
      <w:bookmarkEnd w:id="102"/>
    </w:p>
    <w:p>
      <w:pPr>
        <w:spacing w:line="360" w:lineRule="auto"/>
        <w:ind w:firstLine="425" w:firstLineChars="152"/>
        <w:jc w:val="both"/>
        <w:rPr>
          <w:rFonts w:hint="eastAsia" w:ascii="宋体" w:hAnsi="宋体" w:eastAsia="宋体"/>
          <w:color w:val="auto"/>
          <w:sz w:val="28"/>
          <w:szCs w:val="28"/>
          <w:lang w:val="en-GB"/>
        </w:rPr>
      </w:pPr>
      <w:bookmarkStart w:id="103" w:name="bookmark79"/>
      <w:bookmarkStart w:id="104" w:name="bookmark80"/>
      <w:r>
        <w:rPr>
          <w:rFonts w:hint="eastAsia" w:ascii="宋体" w:hAnsi="宋体" w:eastAsia="宋体"/>
          <w:color w:val="auto"/>
          <w:sz w:val="28"/>
          <w:szCs w:val="28"/>
          <w:lang w:val="en-GB"/>
        </w:rPr>
        <w:t>通过道化法评价分析可知，</w:t>
      </w:r>
      <w:r>
        <w:rPr>
          <w:rFonts w:ascii="宋体" w:hAnsi="宋体" w:eastAsia="宋体"/>
          <w:color w:val="auto"/>
          <w:sz w:val="28"/>
          <w:szCs w:val="28"/>
          <w:lang w:val="en-GB"/>
        </w:rPr>
        <w:t>在不考虑安全补偿措施的前提下，该公司</w:t>
      </w:r>
      <w:r>
        <w:rPr>
          <w:rFonts w:hint="eastAsia" w:ascii="宋体" w:hAnsi="宋体" w:eastAsia="宋体"/>
          <w:color w:val="auto"/>
          <w:sz w:val="28"/>
          <w:szCs w:val="28"/>
          <w:lang w:val="en-GB"/>
        </w:rPr>
        <w:t>甲乙类仓库储存单元的火灾爆炸危险指数为122，火灾爆炸危险等级处于“中等”的程度，暴露半径为31.2m。</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lang w:val="en-GB"/>
        </w:rPr>
        <w:t>经采取安全措施补偿后，</w:t>
      </w:r>
      <w:r>
        <w:rPr>
          <w:rFonts w:hint="eastAsia" w:ascii="宋体" w:hAnsi="宋体" w:eastAsia="宋体"/>
          <w:color w:val="auto"/>
          <w:sz w:val="28"/>
          <w:szCs w:val="28"/>
          <w:lang w:val="en-GB" w:eastAsia="zh-CN"/>
        </w:rPr>
        <w:t>库房一(仓库A)</w:t>
      </w:r>
      <w:r>
        <w:rPr>
          <w:rFonts w:hint="eastAsia" w:ascii="宋体" w:hAnsi="宋体" w:eastAsia="宋体"/>
          <w:color w:val="auto"/>
          <w:sz w:val="28"/>
          <w:szCs w:val="28"/>
          <w:lang w:val="en-GB"/>
        </w:rPr>
        <w:t>储存单元火灾爆炸危险指数为87，火灾爆炸危险等级为“较轻”程度，暴露半径22.3m。</w:t>
      </w:r>
      <w:r>
        <w:rPr>
          <w:rFonts w:ascii="宋体" w:hAnsi="宋体" w:eastAsia="宋体"/>
          <w:color w:val="auto"/>
          <w:sz w:val="28"/>
          <w:szCs w:val="28"/>
        </w:rPr>
        <w:t>其火灾爆炸危险指数明显降低</w:t>
      </w:r>
      <w:r>
        <w:rPr>
          <w:rFonts w:hint="eastAsia" w:ascii="宋体" w:hAnsi="宋体" w:eastAsia="宋体"/>
          <w:color w:val="auto"/>
          <w:sz w:val="28"/>
          <w:szCs w:val="28"/>
        </w:rPr>
        <w:t>，表明</w:t>
      </w:r>
      <w:r>
        <w:rPr>
          <w:rFonts w:ascii="宋体" w:hAnsi="宋体" w:eastAsia="宋体"/>
          <w:color w:val="auto"/>
          <w:sz w:val="28"/>
          <w:szCs w:val="28"/>
        </w:rPr>
        <w:t>评价单元采用安全措施是非常必要的，它可以有效的降低单元的火灾危险程度。</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05" w:name="_Toc14114"/>
      <w:r>
        <w:rPr>
          <w:rFonts w:ascii="楷体_GB2312" w:hAnsi="Times New Roman" w:eastAsia="楷体_GB2312" w:cs="Times New Roman"/>
          <w:b/>
          <w:bCs w:val="0"/>
          <w:color w:val="auto"/>
          <w:kern w:val="2"/>
          <w:sz w:val="32"/>
          <w:lang w:val="en-US" w:eastAsia="zh-CN" w:bidi="ar-SA"/>
        </w:rPr>
        <w:t>7.</w:t>
      </w:r>
      <w:r>
        <w:rPr>
          <w:rFonts w:hint="eastAsia" w:ascii="楷体_GB2312" w:hAnsi="Times New Roman" w:eastAsia="楷体_GB2312" w:cs="Times New Roman"/>
          <w:b/>
          <w:bCs w:val="0"/>
          <w:color w:val="auto"/>
          <w:kern w:val="2"/>
          <w:sz w:val="32"/>
          <w:lang w:val="en-US" w:eastAsia="zh-CN" w:bidi="ar-SA"/>
        </w:rPr>
        <w:t>4危险度评价法评价结果</w:t>
      </w:r>
      <w:bookmarkEnd w:id="105"/>
    </w:p>
    <w:p>
      <w:pPr>
        <w:pStyle w:val="20"/>
        <w:spacing w:line="360" w:lineRule="auto"/>
        <w:ind w:firstLine="560" w:firstLineChars="200"/>
        <w:jc w:val="both"/>
        <w:rPr>
          <w:rFonts w:cs="宋体"/>
          <w:color w:val="auto"/>
        </w:rPr>
      </w:pPr>
      <w:r>
        <w:rPr>
          <w:rFonts w:hint="eastAsia" w:cs="宋体"/>
          <w:color w:val="auto"/>
        </w:rPr>
        <w:t>根据《广东省安全生产监督管理局关于做好危险化学品和烟花爆竹领域风险点危险源排查管控工作的通知》(粤安监〔2016〕121号)的内容，对企业进行定量、定性和综合评定，</w:t>
      </w:r>
      <w:r>
        <w:rPr>
          <w:rFonts w:hint="eastAsia" w:cs="宋体"/>
          <w:color w:val="auto"/>
          <w:szCs w:val="28"/>
        </w:rPr>
        <w:t>该公司</w:t>
      </w:r>
      <w:r>
        <w:rPr>
          <w:rFonts w:hint="eastAsia"/>
          <w:color w:val="auto"/>
          <w:sz w:val="28"/>
          <w:szCs w:val="28"/>
          <w:lang w:eastAsia="zh-CN"/>
        </w:rPr>
        <w:t>厂房四（厂房C）</w:t>
      </w:r>
      <w:r>
        <w:rPr>
          <w:rFonts w:hint="eastAsia" w:cs="宋体"/>
          <w:color w:val="auto"/>
          <w:szCs w:val="28"/>
        </w:rPr>
        <w:t>、</w:t>
      </w:r>
      <w:r>
        <w:rPr>
          <w:rFonts w:hint="eastAsia" w:cs="宋体"/>
          <w:color w:val="auto"/>
          <w:szCs w:val="28"/>
          <w:lang w:eastAsia="zh-CN"/>
        </w:rPr>
        <w:t>库房一(仓库A)</w:t>
      </w:r>
      <w:r>
        <w:rPr>
          <w:rFonts w:hint="eastAsia" w:cs="宋体"/>
          <w:color w:val="auto"/>
          <w:szCs w:val="28"/>
        </w:rPr>
        <w:t>的危险等级均为黄色，危险程度为中度危险。</w:t>
      </w:r>
    </w:p>
    <w:p>
      <w:pPr>
        <w:spacing w:line="560" w:lineRule="exact"/>
        <w:ind w:firstLine="425" w:firstLineChars="152"/>
        <w:rPr>
          <w:rFonts w:ascii="宋体" w:hAnsi="宋体" w:eastAsia="PMingLiU"/>
          <w:color w:val="auto"/>
          <w:sz w:val="28"/>
          <w:szCs w:val="28"/>
        </w:rPr>
      </w:pPr>
    </w:p>
    <w:p>
      <w:pPr>
        <w:pStyle w:val="3"/>
        <w:spacing w:after="120"/>
        <w:rPr>
          <w:snapToGrid/>
          <w:color w:val="auto"/>
        </w:rPr>
      </w:pPr>
      <w:r>
        <w:rPr>
          <w:snapToGrid/>
          <w:color w:val="auto"/>
        </w:rPr>
        <w:br w:type="page"/>
      </w:r>
    </w:p>
    <w:p>
      <w:pPr>
        <w:pStyle w:val="3"/>
        <w:spacing w:after="120" w:line="360" w:lineRule="auto"/>
        <w:rPr>
          <w:b/>
          <w:bCs/>
          <w:snapToGrid/>
          <w:color w:val="auto"/>
        </w:rPr>
      </w:pPr>
      <w:bookmarkStart w:id="106" w:name="_Toc27456"/>
      <w:r>
        <w:rPr>
          <w:b/>
          <w:bCs/>
          <w:snapToGrid/>
          <w:color w:val="auto"/>
        </w:rPr>
        <w:t>8可能发生的危险化学品事故的预测后果</w:t>
      </w:r>
      <w:bookmarkEnd w:id="103"/>
      <w:bookmarkEnd w:id="104"/>
      <w:bookmarkEnd w:id="106"/>
    </w:p>
    <w:p>
      <w:pPr>
        <w:spacing w:line="360" w:lineRule="auto"/>
        <w:ind w:firstLine="425" w:firstLineChars="152"/>
        <w:rPr>
          <w:rFonts w:ascii="宋体" w:hAnsi="宋体" w:eastAsia="宋体"/>
          <w:color w:val="auto"/>
          <w:sz w:val="28"/>
          <w:szCs w:val="28"/>
        </w:rPr>
      </w:pPr>
      <w:r>
        <w:rPr>
          <w:rFonts w:ascii="宋体" w:hAnsi="宋体" w:eastAsia="宋体"/>
          <w:color w:val="auto"/>
          <w:sz w:val="28"/>
          <w:szCs w:val="28"/>
        </w:rPr>
        <w:t>针对该公司可能发生的火灾爆炸、中毒和窒息等危险化学品事故。依据预先危险性分析(PHA)法对该公司的工艺及设施进行分析，分析该公司在运行过程中可能出现的危险化学品事故、危险等级及后果，并针对可能出现的危险化学品事故，制定了相应的安全对策措施。</w:t>
      </w:r>
    </w:p>
    <w:p>
      <w:pPr>
        <w:spacing w:line="360" w:lineRule="auto"/>
        <w:ind w:firstLine="425" w:firstLineChars="152"/>
        <w:rPr>
          <w:rFonts w:ascii="宋体" w:hAnsi="宋体" w:eastAsia="宋体"/>
          <w:color w:val="auto"/>
          <w:sz w:val="28"/>
          <w:szCs w:val="28"/>
        </w:rPr>
      </w:pPr>
      <w:r>
        <w:rPr>
          <w:rFonts w:ascii="宋体" w:hAnsi="宋体" w:eastAsia="宋体"/>
          <w:color w:val="auto"/>
          <w:sz w:val="28"/>
          <w:szCs w:val="28"/>
        </w:rPr>
        <w:t>由预先危险分析的结果可知，潜在事故火灾、爆炸的危险性等级为III级，危险的；潜在事故中毒</w:t>
      </w:r>
      <w:r>
        <w:rPr>
          <w:rFonts w:hint="eastAsia" w:ascii="宋体" w:hAnsi="宋体" w:eastAsia="宋体"/>
          <w:color w:val="auto"/>
          <w:sz w:val="28"/>
          <w:szCs w:val="28"/>
          <w:lang w:eastAsia="zh-CN"/>
        </w:rPr>
        <w:t>和</w:t>
      </w:r>
      <w:r>
        <w:rPr>
          <w:rFonts w:ascii="宋体" w:hAnsi="宋体" w:eastAsia="宋体"/>
          <w:color w:val="auto"/>
          <w:sz w:val="28"/>
          <w:szCs w:val="28"/>
        </w:rPr>
        <w:t>窒息的危险等级为II级，临界的。</w:t>
      </w:r>
    </w:p>
    <w:p>
      <w:pPr>
        <w:spacing w:line="560" w:lineRule="exact"/>
        <w:jc w:val="center"/>
        <w:rPr>
          <w:rFonts w:ascii="宋体" w:hAnsi="宋体" w:eastAsia="宋体"/>
          <w:b/>
          <w:color w:val="auto"/>
        </w:rPr>
      </w:pPr>
      <w:r>
        <w:rPr>
          <w:rFonts w:ascii="宋体" w:hAnsi="宋体" w:eastAsia="宋体"/>
          <w:b/>
          <w:color w:val="auto"/>
        </w:rPr>
        <w:t>表8-1可能发生的危险化学品事故的预测后果汇总表</w:t>
      </w:r>
    </w:p>
    <w:tbl>
      <w:tblPr>
        <w:tblStyle w:val="46"/>
        <w:tblW w:w="91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2925"/>
        <w:gridCol w:w="3548"/>
        <w:gridCol w:w="27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292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事故类型</w:t>
            </w:r>
          </w:p>
        </w:tc>
        <w:tc>
          <w:tcPr>
            <w:tcW w:w="3548"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事故后果</w:t>
            </w:r>
          </w:p>
        </w:tc>
        <w:tc>
          <w:tcPr>
            <w:tcW w:w="272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危险等级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92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火灾爆炸</w:t>
            </w:r>
          </w:p>
        </w:tc>
        <w:tc>
          <w:tcPr>
            <w:tcW w:w="3548"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造成多人死亡或系统毁坏</w:t>
            </w:r>
          </w:p>
        </w:tc>
        <w:tc>
          <w:tcPr>
            <w:tcW w:w="272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III级(危险的)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92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中毒和室息</w:t>
            </w:r>
          </w:p>
        </w:tc>
        <w:tc>
          <w:tcPr>
            <w:tcW w:w="3548"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造成轻伤或次要系统损坏</w:t>
            </w:r>
          </w:p>
        </w:tc>
        <w:tc>
          <w:tcPr>
            <w:tcW w:w="272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II级(临界的)</w:t>
            </w:r>
          </w:p>
        </w:tc>
      </w:tr>
    </w:tbl>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pStyle w:val="3"/>
        <w:spacing w:after="120"/>
        <w:rPr>
          <w:snapToGrid/>
          <w:color w:val="auto"/>
        </w:rPr>
      </w:pPr>
      <w:bookmarkStart w:id="107" w:name="bookmark81"/>
      <w:bookmarkStart w:id="108" w:name="bookmark82"/>
      <w:r>
        <w:rPr>
          <w:snapToGrid/>
          <w:color w:val="auto"/>
        </w:rPr>
        <w:br w:type="page"/>
      </w:r>
    </w:p>
    <w:p>
      <w:pPr>
        <w:pStyle w:val="3"/>
        <w:spacing w:after="120" w:line="360" w:lineRule="auto"/>
        <w:rPr>
          <w:b/>
          <w:bCs/>
          <w:snapToGrid/>
          <w:color w:val="auto"/>
        </w:rPr>
      </w:pPr>
      <w:bookmarkStart w:id="109" w:name="_Toc12469"/>
      <w:r>
        <w:rPr>
          <w:b/>
          <w:bCs/>
          <w:snapToGrid/>
          <w:color w:val="auto"/>
        </w:rPr>
        <w:t>9企业安全生产情况专篇</w:t>
      </w:r>
      <w:bookmarkEnd w:id="107"/>
      <w:bookmarkEnd w:id="108"/>
      <w:bookmarkEnd w:id="109"/>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110" w:name="bookmark84"/>
      <w:bookmarkStart w:id="111" w:name="_Toc3997"/>
      <w:bookmarkStart w:id="112" w:name="bookmark83"/>
      <w:r>
        <w:rPr>
          <w:rFonts w:ascii="楷体_GB2312" w:hAnsi="Times New Roman" w:eastAsia="楷体_GB2312" w:cs="Times New Roman"/>
          <w:b/>
          <w:bCs/>
          <w:color w:val="auto"/>
          <w:kern w:val="2"/>
          <w:sz w:val="32"/>
          <w:lang w:val="en-US" w:eastAsia="zh-CN" w:bidi="ar-SA"/>
        </w:rPr>
        <w:t>9.1安全生产法律法规及标准规范的执行情况</w:t>
      </w:r>
      <w:bookmarkEnd w:id="110"/>
      <w:bookmarkEnd w:id="111"/>
      <w:bookmarkEnd w:id="112"/>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优诺公司</w:t>
      </w:r>
      <w:r>
        <w:rPr>
          <w:rFonts w:ascii="宋体" w:hAnsi="宋体" w:eastAsia="宋体"/>
          <w:color w:val="auto"/>
          <w:sz w:val="28"/>
          <w:szCs w:val="28"/>
        </w:rPr>
        <w:t>自取得安全生产许可证以来，严格执行《中华人民共和国安全生产法》、《中华人民共和国消防法》、《中华人民共和国职业病防治法》、《危险化学品安全管理条例》、《安全生产许可证条例》、《生产经营单位安全培训规定》、《建筑设计防火规范》等法律、法规、标准、规范。</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厂区总平面布局、厂区道路安全、常规防护设施和措施均符合《建筑设计防火规范》(GB50016-2014)的相关要求。</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消防设施已经广东省</w:t>
      </w:r>
      <w:r>
        <w:rPr>
          <w:rFonts w:hint="eastAsia" w:ascii="宋体" w:hAnsi="宋体" w:eastAsia="宋体"/>
          <w:color w:val="auto"/>
          <w:sz w:val="28"/>
          <w:szCs w:val="28"/>
          <w:lang w:eastAsia="zh-CN"/>
        </w:rPr>
        <w:t>东莞市公安消防局大岭山大队</w:t>
      </w:r>
      <w:r>
        <w:rPr>
          <w:rFonts w:ascii="宋体" w:hAnsi="宋体" w:eastAsia="宋体"/>
          <w:color w:val="auto"/>
          <w:sz w:val="28"/>
          <w:szCs w:val="28"/>
        </w:rPr>
        <w:t>验收，取得了建设工程消防验收意见书，消防设施定期检查、检验、保养，由具有资质的单位及时更换药品，维护保养有专人负责，有记录。</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3)</w:t>
      </w:r>
      <w:r>
        <w:rPr>
          <w:rFonts w:ascii="宋体" w:hAnsi="宋体" w:eastAsia="宋体"/>
          <w:color w:val="auto"/>
          <w:sz w:val="28"/>
          <w:szCs w:val="28"/>
        </w:rPr>
        <w:t>厂区的防雷设施由广东省气象防灾技术服务中心定期检测，检测报告在有效期内。</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4)</w:t>
      </w:r>
      <w:r>
        <w:rPr>
          <w:rFonts w:ascii="宋体" w:hAnsi="宋体" w:eastAsia="宋体"/>
          <w:color w:val="auto"/>
          <w:sz w:val="28"/>
          <w:szCs w:val="28"/>
        </w:rPr>
        <w:t>电气设施安装、线路敷设符合要求。</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5)</w:t>
      </w:r>
      <w:r>
        <w:rPr>
          <w:rFonts w:ascii="宋体" w:hAnsi="宋体" w:eastAsia="宋体"/>
          <w:color w:val="auto"/>
          <w:sz w:val="28"/>
          <w:szCs w:val="28"/>
        </w:rPr>
        <w:t>特种设备及其安全附件按规定定期进行检测、检验，特种设备档案齐全，运行正常。</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6)</w:t>
      </w:r>
      <w:r>
        <w:rPr>
          <w:rFonts w:ascii="宋体" w:hAnsi="宋体" w:eastAsia="宋体"/>
          <w:color w:val="auto"/>
          <w:sz w:val="28"/>
          <w:szCs w:val="28"/>
        </w:rPr>
        <w:t>成立了安全生产管理组织，配备了专职安全生产管理人员。单位负责人、安全生产管理人员和从业人员定期接受安全知识教育培训，均持证上岗。</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7)</w:t>
      </w:r>
      <w:r>
        <w:rPr>
          <w:rFonts w:ascii="宋体" w:hAnsi="宋体" w:eastAsia="宋体"/>
          <w:color w:val="auto"/>
          <w:sz w:val="28"/>
          <w:szCs w:val="28"/>
        </w:rPr>
        <w:t>为从业人员配备了劳动防护用品。</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8)</w:t>
      </w:r>
      <w:r>
        <w:rPr>
          <w:rFonts w:ascii="宋体" w:hAnsi="宋体" w:eastAsia="宋体"/>
          <w:color w:val="auto"/>
          <w:sz w:val="28"/>
          <w:szCs w:val="28"/>
        </w:rPr>
        <w:t>成立了应急救援领导小组，配备了应急救援器材。</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9)</w:t>
      </w:r>
      <w:r>
        <w:rPr>
          <w:rFonts w:ascii="宋体" w:hAnsi="宋体" w:eastAsia="宋体"/>
          <w:color w:val="auto"/>
          <w:sz w:val="28"/>
          <w:szCs w:val="28"/>
        </w:rPr>
        <w:t>开展日常安全检查，有安全检查记录。</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10)</w:t>
      </w:r>
      <w:r>
        <w:rPr>
          <w:rFonts w:ascii="宋体" w:hAnsi="宋体" w:eastAsia="宋体"/>
          <w:color w:val="auto"/>
          <w:sz w:val="28"/>
          <w:szCs w:val="28"/>
        </w:rPr>
        <w:t>按规定为从业人员购买了包括工伤保险的社会保险金，每个月交纳</w:t>
      </w:r>
      <w:bookmarkStart w:id="113" w:name="bookmark85"/>
      <w:r>
        <w:rPr>
          <w:rFonts w:ascii="宋体" w:hAnsi="宋体" w:eastAsia="宋体"/>
          <w:color w:val="auto"/>
          <w:sz w:val="28"/>
          <w:szCs w:val="28"/>
        </w:rPr>
        <w:t>保险费。</w:t>
      </w:r>
      <w:bookmarkEnd w:id="113"/>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14" w:name="bookmark86"/>
      <w:bookmarkStart w:id="115" w:name="_Toc9982"/>
      <w:r>
        <w:rPr>
          <w:rFonts w:ascii="楷体_GB2312" w:hAnsi="Times New Roman" w:eastAsia="楷体_GB2312" w:cs="Times New Roman"/>
          <w:b/>
          <w:bCs w:val="0"/>
          <w:color w:val="auto"/>
          <w:kern w:val="2"/>
          <w:sz w:val="32"/>
          <w:lang w:val="en-US" w:eastAsia="zh-CN" w:bidi="ar-SA"/>
        </w:rPr>
        <w:t>9.2安全生产条件符合情况</w:t>
      </w:r>
      <w:bookmarkEnd w:id="114"/>
      <w:bookmarkEnd w:id="115"/>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自20</w:t>
      </w:r>
      <w:r>
        <w:rPr>
          <w:rFonts w:hint="eastAsia" w:ascii="宋体" w:hAnsi="宋体" w:eastAsia="宋体"/>
          <w:color w:val="auto"/>
          <w:sz w:val="28"/>
          <w:szCs w:val="28"/>
          <w:lang w:val="en-US" w:eastAsia="zh-CN"/>
        </w:rPr>
        <w:t>18</w:t>
      </w:r>
      <w:r>
        <w:rPr>
          <w:rFonts w:ascii="宋体" w:hAnsi="宋体" w:eastAsia="宋体"/>
          <w:color w:val="auto"/>
          <w:sz w:val="28"/>
          <w:szCs w:val="28"/>
          <w:lang w:eastAsia="zh-CN"/>
        </w:rPr>
        <w:t>年</w:t>
      </w:r>
      <w:r>
        <w:rPr>
          <w:rFonts w:hint="eastAsia" w:ascii="宋体" w:hAnsi="宋体" w:eastAsia="宋体"/>
          <w:color w:val="auto"/>
          <w:sz w:val="28"/>
          <w:szCs w:val="28"/>
          <w:lang w:val="en-US" w:eastAsia="zh-CN"/>
        </w:rPr>
        <w:t>08</w:t>
      </w:r>
      <w:r>
        <w:rPr>
          <w:rFonts w:ascii="宋体" w:hAnsi="宋体" w:eastAsia="宋体"/>
          <w:color w:val="auto"/>
          <w:sz w:val="28"/>
          <w:szCs w:val="28"/>
          <w:lang w:eastAsia="zh-CN"/>
        </w:rPr>
        <w:t>月</w:t>
      </w:r>
      <w:r>
        <w:rPr>
          <w:rFonts w:hint="eastAsia" w:ascii="宋体" w:hAnsi="宋体" w:eastAsia="宋体"/>
          <w:color w:val="auto"/>
          <w:sz w:val="28"/>
          <w:szCs w:val="28"/>
          <w:lang w:val="en-US" w:eastAsia="zh-CN"/>
        </w:rPr>
        <w:t>01</w:t>
      </w:r>
      <w:r>
        <w:rPr>
          <w:rFonts w:ascii="宋体" w:hAnsi="宋体" w:eastAsia="宋体"/>
          <w:color w:val="auto"/>
          <w:sz w:val="28"/>
          <w:szCs w:val="28"/>
          <w:lang w:eastAsia="zh-CN"/>
        </w:rPr>
        <w:t>日取得安全生产许可证以来，该公司安全生产条件未发生变化等。</w:t>
      </w:r>
    </w:p>
    <w:p>
      <w:pPr>
        <w:spacing w:line="560" w:lineRule="exact"/>
        <w:jc w:val="center"/>
        <w:rPr>
          <w:rFonts w:ascii="宋体" w:hAnsi="宋体" w:eastAsia="宋体"/>
          <w:b/>
          <w:color w:val="auto"/>
          <w:lang w:eastAsia="zh-CN"/>
        </w:rPr>
      </w:pPr>
      <w:r>
        <w:rPr>
          <w:rFonts w:ascii="宋体" w:hAnsi="宋体" w:eastAsia="宋体"/>
          <w:b/>
          <w:color w:val="auto"/>
          <w:lang w:eastAsia="zh-CN"/>
        </w:rPr>
        <w:t>表9-1企业取得安全生产许可证以来安全生产工作情况表</w:t>
      </w:r>
    </w:p>
    <w:tbl>
      <w:tblPr>
        <w:tblStyle w:val="46"/>
        <w:tblW w:w="91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2332"/>
        <w:gridCol w:w="4954"/>
        <w:gridCol w:w="876"/>
        <w:gridCol w:w="10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安全生产工作项目</w:t>
            </w:r>
          </w:p>
        </w:tc>
        <w:tc>
          <w:tcPr>
            <w:tcW w:w="4954"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安全生产工作基本情况</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结果</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1、安全生产法律法规及规范标准的执行情况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该公司严格执行国家有关安全生产的法律、法规及规范标准。</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2、安全生产条件符合情况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该公司安全生产条件均符合《危险化学品生产企业安全生产许可证实施办法》规定的安全生产条件。</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3、日常安全生产管理情况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该公司设置了安全生产管理机构，成立了安全生产领导小组，并配备了专职安全生产管理人员；</w:t>
            </w:r>
          </w:p>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建立了本单位安全生产责任制；</w:t>
            </w:r>
          </w:p>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制定了比较完善的安全管理制度；</w:t>
            </w:r>
          </w:p>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编制了各岗位操作安全规程、作业安全规程；</w:t>
            </w:r>
          </w:p>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加强对《安全生产法》等有关安全生产的法律、法规和安全生产知识的学习、宣传，提高从业人员的安全生产意识；</w:t>
            </w:r>
          </w:p>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该公司重视安全生产的监督检查工作发现问题及时处理，消除事故隐患。</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4、生产安全事故情况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该公司自成立以来，没有发生过《生产安全事故报告和调查处理条例》规定情形的生产安全事故。也没有发生消防安全事故。</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5、人员安全教育培训情况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该公司主要负责人、安全生产管理人员</w:t>
            </w:r>
            <w:r>
              <w:rPr>
                <w:rFonts w:hint="eastAsia" w:ascii="宋体" w:hAnsi="宋体" w:eastAsia="宋体"/>
                <w:color w:val="auto"/>
                <w:kern w:val="2"/>
                <w:sz w:val="21"/>
                <w:szCs w:val="21"/>
                <w:lang w:eastAsia="zh-CN"/>
              </w:rPr>
              <w:t>、</w:t>
            </w:r>
            <w:r>
              <w:rPr>
                <w:rFonts w:hint="default" w:ascii="宋体" w:hAnsi="宋体" w:eastAsia="宋体"/>
                <w:color w:val="auto"/>
                <w:kern w:val="2"/>
                <w:sz w:val="21"/>
                <w:szCs w:val="21"/>
              </w:rPr>
              <w:t>其他从业人员经培训考核合格持证上岗，安全培训符合要求。</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6、重大危险源监控情况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w:t>
            </w:r>
            <w:r>
              <w:rPr>
                <w:rFonts w:hint="eastAsia" w:ascii="宋体" w:hAnsi="宋体" w:eastAsia="宋体"/>
                <w:color w:val="auto"/>
                <w:kern w:val="2"/>
                <w:sz w:val="21"/>
                <w:szCs w:val="21"/>
                <w:lang w:eastAsia="zh-CN"/>
              </w:rPr>
              <w:t>危险化学品</w:t>
            </w:r>
            <w:r>
              <w:rPr>
                <w:rFonts w:hint="default" w:ascii="宋体" w:hAnsi="宋体" w:eastAsia="宋体"/>
                <w:color w:val="auto"/>
                <w:kern w:val="2"/>
                <w:sz w:val="21"/>
                <w:szCs w:val="21"/>
              </w:rPr>
              <w:t>不构成重大危险源。</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7、事故应急救援预案培训和演练情况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default" w:ascii="宋体" w:hAnsi="宋体" w:eastAsia="宋体"/>
                <w:color w:val="auto"/>
                <w:kern w:val="2"/>
                <w:sz w:val="21"/>
                <w:szCs w:val="21"/>
              </w:rPr>
              <w:t>该公司按照导则编制了较为完善的《生产安全事故应急救援预案》，并通过了专家评审，己经报</w:t>
            </w:r>
            <w:r>
              <w:rPr>
                <w:rFonts w:hint="eastAsia" w:ascii="宋体" w:hAnsi="宋体" w:eastAsia="宋体"/>
                <w:color w:val="auto"/>
                <w:kern w:val="2"/>
                <w:sz w:val="21"/>
                <w:szCs w:val="21"/>
                <w:lang w:eastAsia="zh-CN"/>
              </w:rPr>
              <w:t>应急局</w:t>
            </w:r>
            <w:r>
              <w:rPr>
                <w:rFonts w:hint="default" w:ascii="宋体" w:hAnsi="宋体" w:eastAsia="宋体"/>
                <w:color w:val="auto"/>
                <w:kern w:val="2"/>
                <w:sz w:val="21"/>
                <w:szCs w:val="21"/>
              </w:rPr>
              <w:t>备案，取得备案登记证明。</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lang w:eastAsia="zh-CN"/>
              </w:rPr>
            </w:pPr>
            <w:r>
              <w:rPr>
                <w:rFonts w:hint="eastAsia" w:ascii="宋体" w:hAnsi="宋体" w:eastAsia="宋体"/>
                <w:color w:val="auto"/>
                <w:kern w:val="2"/>
                <w:sz w:val="21"/>
                <w:szCs w:val="21"/>
                <w:lang w:eastAsia="zh-CN"/>
              </w:rPr>
              <w:t>8、生产范围、生产场</w:t>
            </w:r>
            <w:r>
              <w:rPr>
                <w:rFonts w:hint="default" w:ascii="宋体" w:hAnsi="宋体" w:eastAsia="宋体"/>
                <w:color w:val="auto"/>
                <w:kern w:val="2"/>
                <w:sz w:val="21"/>
                <w:szCs w:val="21"/>
                <w:lang w:eastAsia="zh-CN"/>
              </w:rPr>
              <w:t xml:space="preserve"> 所、生</w:t>
            </w:r>
            <w:r>
              <w:rPr>
                <w:rFonts w:hint="eastAsia" w:ascii="宋体" w:hAnsi="宋体" w:eastAsia="宋体"/>
                <w:color w:val="auto"/>
                <w:kern w:val="2"/>
                <w:sz w:val="21"/>
                <w:szCs w:val="21"/>
                <w:lang w:eastAsia="zh-CN"/>
              </w:rPr>
              <w:t>产装置、储存设</w:t>
            </w:r>
            <w:r>
              <w:rPr>
                <w:rFonts w:hint="default" w:ascii="宋体" w:hAnsi="宋体" w:eastAsia="宋体"/>
                <w:color w:val="auto"/>
                <w:kern w:val="2"/>
                <w:sz w:val="21"/>
                <w:szCs w:val="21"/>
                <w:lang w:eastAsia="zh-CN"/>
              </w:rPr>
              <w:t xml:space="preserve"> 施等</w:t>
            </w:r>
            <w:r>
              <w:rPr>
                <w:rFonts w:hint="eastAsia" w:ascii="宋体" w:hAnsi="宋体" w:eastAsia="宋体"/>
                <w:color w:val="auto"/>
                <w:kern w:val="2"/>
                <w:sz w:val="21"/>
                <w:szCs w:val="21"/>
                <w:lang w:eastAsia="zh-CN"/>
              </w:rPr>
              <w:t>发生变化情况。</w:t>
            </w:r>
          </w:p>
        </w:tc>
        <w:tc>
          <w:tcPr>
            <w:tcW w:w="4954" w:type="dxa"/>
            <w:shd w:val="clear" w:color="auto" w:fill="FFFFFF"/>
            <w:vAlign w:val="center"/>
          </w:tcPr>
          <w:p>
            <w:pPr>
              <w:keepNext w:val="0"/>
              <w:keepLines w:val="0"/>
              <w:suppressLineNumbers w:val="0"/>
              <w:spacing w:before="0" w:beforeAutospacing="0" w:after="0" w:afterAutospacing="0" w:line="240" w:lineRule="auto"/>
              <w:ind w:left="142" w:leftChars="59" w:right="194" w:rightChars="81" w:firstLine="140" w:firstLineChars="67"/>
              <w:jc w:val="both"/>
              <w:rPr>
                <w:rFonts w:hint="default" w:ascii="宋体" w:hAnsi="宋体" w:eastAsia="宋体"/>
                <w:color w:val="auto"/>
                <w:kern w:val="2"/>
                <w:sz w:val="21"/>
                <w:szCs w:val="21"/>
              </w:rPr>
            </w:pPr>
            <w:r>
              <w:rPr>
                <w:rFonts w:hint="eastAsia" w:ascii="宋体" w:hAnsi="宋体" w:eastAsia="宋体"/>
                <w:color w:val="auto"/>
                <w:kern w:val="2"/>
                <w:sz w:val="21"/>
                <w:szCs w:val="21"/>
              </w:rPr>
              <w:t>该公司自取得生产许可证以来，生产范围、生产场所、生产装置、储存设施等未发生变化。</w:t>
            </w:r>
          </w:p>
        </w:tc>
        <w:tc>
          <w:tcPr>
            <w:tcW w:w="87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r>
              <w:rPr>
                <w:rFonts w:hint="default" w:ascii="宋体" w:hAnsi="宋体" w:eastAsia="宋体"/>
                <w:color w:val="auto"/>
                <w:kern w:val="2"/>
                <w:sz w:val="21"/>
                <w:szCs w:val="21"/>
              </w:rPr>
              <w:t>符合</w:t>
            </w:r>
          </w:p>
        </w:tc>
        <w:tc>
          <w:tcPr>
            <w:tcW w:w="1036"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olor w:val="auto"/>
                <w:kern w:val="2"/>
                <w:sz w:val="21"/>
                <w:szCs w:val="21"/>
              </w:rPr>
            </w:pP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jc w:val="both"/>
        <w:textAlignment w:val="auto"/>
        <w:outlineLvl w:val="1"/>
        <w:rPr>
          <w:rFonts w:ascii="楷体_GB2312" w:hAnsi="Times New Roman" w:eastAsia="楷体_GB2312" w:cs="Times New Roman"/>
          <w:b/>
          <w:bCs w:val="0"/>
          <w:color w:val="auto"/>
          <w:kern w:val="2"/>
          <w:sz w:val="32"/>
          <w:lang w:val="en-US" w:eastAsia="zh-CN" w:bidi="ar-SA"/>
        </w:rPr>
      </w:pPr>
      <w:bookmarkStart w:id="116" w:name="bookmark87"/>
      <w:bookmarkStart w:id="117" w:name="_Toc16063"/>
      <w:r>
        <w:rPr>
          <w:rFonts w:ascii="楷体_GB2312" w:hAnsi="Times New Roman" w:eastAsia="楷体_GB2312" w:cs="Times New Roman"/>
          <w:b/>
          <w:bCs w:val="0"/>
          <w:color w:val="auto"/>
          <w:kern w:val="2"/>
          <w:sz w:val="32"/>
          <w:lang w:val="en-US" w:eastAsia="zh-CN" w:bidi="ar-SA"/>
        </w:rPr>
        <w:t>9.3日常安全生产管理情况</w:t>
      </w:r>
      <w:bookmarkEnd w:id="116"/>
      <w:bookmarkEnd w:id="117"/>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自20</w:t>
      </w:r>
      <w:r>
        <w:rPr>
          <w:rFonts w:hint="eastAsia" w:ascii="宋体" w:hAnsi="宋体" w:eastAsia="宋体"/>
          <w:color w:val="auto"/>
          <w:sz w:val="28"/>
          <w:szCs w:val="28"/>
          <w:lang w:val="en-US" w:eastAsia="zh-CN"/>
        </w:rPr>
        <w:t>18</w:t>
      </w:r>
      <w:r>
        <w:rPr>
          <w:rFonts w:ascii="宋体" w:hAnsi="宋体" w:eastAsia="宋体"/>
          <w:color w:val="auto"/>
          <w:sz w:val="28"/>
          <w:szCs w:val="28"/>
          <w:lang w:eastAsia="zh-CN"/>
        </w:rPr>
        <w:t>年</w:t>
      </w:r>
      <w:r>
        <w:rPr>
          <w:rFonts w:hint="eastAsia" w:ascii="宋体" w:hAnsi="宋体" w:eastAsia="宋体"/>
          <w:color w:val="auto"/>
          <w:sz w:val="28"/>
          <w:szCs w:val="28"/>
          <w:lang w:val="en-US" w:eastAsia="zh-CN"/>
        </w:rPr>
        <w:t>08</w:t>
      </w:r>
      <w:r>
        <w:rPr>
          <w:rFonts w:ascii="宋体" w:hAnsi="宋体" w:eastAsia="宋体"/>
          <w:color w:val="auto"/>
          <w:sz w:val="28"/>
          <w:szCs w:val="28"/>
          <w:lang w:eastAsia="zh-CN"/>
        </w:rPr>
        <w:t>月</w:t>
      </w:r>
      <w:r>
        <w:rPr>
          <w:rFonts w:hint="eastAsia" w:ascii="宋体" w:hAnsi="宋体" w:eastAsia="宋体"/>
          <w:color w:val="auto"/>
          <w:sz w:val="28"/>
          <w:szCs w:val="28"/>
          <w:lang w:val="en-US" w:eastAsia="zh-CN"/>
        </w:rPr>
        <w:t>01</w:t>
      </w:r>
      <w:r>
        <w:rPr>
          <w:rFonts w:ascii="宋体" w:hAnsi="宋体" w:eastAsia="宋体"/>
          <w:color w:val="auto"/>
          <w:sz w:val="28"/>
          <w:szCs w:val="28"/>
          <w:lang w:eastAsia="zh-CN"/>
        </w:rPr>
        <w:t>日取得《安全生产许可证》以来，一直按照国家有关《危险化学品安全管理条例》、《安全生产许可证条例》严格遵照执行，认真执行省、市各级安全管理部门的各种实施办法、规定、通知等公告文件，全公司十分重视强化安全生产管理，在保障安全生产方面采取的是重点倾斜投入，按省市安监规定和要求，落实并符合《危险化学品安全管理条例》规定的安全生产条件。</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建立有</w:t>
      </w:r>
      <w:r>
        <w:rPr>
          <w:rFonts w:hint="eastAsia" w:ascii="宋体" w:hAnsi="宋体" w:eastAsia="宋体"/>
          <w:color w:val="auto"/>
          <w:sz w:val="28"/>
          <w:szCs w:val="28"/>
          <w:lang w:eastAsia="zh-CN"/>
        </w:rPr>
        <w:t>安全科</w:t>
      </w:r>
      <w:r>
        <w:rPr>
          <w:rFonts w:ascii="宋体" w:hAnsi="宋体" w:eastAsia="宋体"/>
          <w:color w:val="auto"/>
          <w:sz w:val="28"/>
          <w:szCs w:val="28"/>
          <w:lang w:eastAsia="zh-CN"/>
        </w:rPr>
        <w:t>，配备了安全生产管理人员，安全生产委员会由公司主要负责人、</w:t>
      </w:r>
      <w:r>
        <w:rPr>
          <w:rFonts w:hint="eastAsia" w:ascii="宋体" w:hAnsi="宋体" w:eastAsia="宋体"/>
          <w:color w:val="auto"/>
          <w:sz w:val="28"/>
          <w:szCs w:val="28"/>
          <w:lang w:eastAsia="zh-CN"/>
        </w:rPr>
        <w:t>安全管理人员</w:t>
      </w:r>
      <w:r>
        <w:rPr>
          <w:rFonts w:ascii="宋体" w:hAnsi="宋体" w:eastAsia="宋体"/>
          <w:color w:val="auto"/>
          <w:sz w:val="28"/>
          <w:szCs w:val="28"/>
          <w:lang w:eastAsia="zh-CN"/>
        </w:rPr>
        <w:t>和各部门主要负责人组成。其主要职能是负责全公司各项安全计划的制订、落实，各项安全管理制度的审核，各部门责任人的考核等安全生产管理工作。主要负责人对公司的安全生产工作负全面责任，安全管理人员协助公司安全生产主要负责人做好公司安全生产工作。各部门的主要职责是负责本部门各项安全管理制度的落实，负责对本部门职工进行安全生产教育的工作。</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依照国家法律、法规和安全生产方针政策，结合本单位实际情况，</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制定了各项安全生产管理制度。</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经辨识，该公司</w:t>
      </w:r>
      <w:r>
        <w:rPr>
          <w:rFonts w:hint="eastAsia" w:ascii="宋体" w:hAnsi="宋体" w:eastAsia="宋体"/>
          <w:color w:val="auto"/>
          <w:sz w:val="28"/>
          <w:szCs w:val="28"/>
          <w:lang w:eastAsia="zh-CN"/>
        </w:rPr>
        <w:t>危险化学品</w:t>
      </w:r>
      <w:r>
        <w:rPr>
          <w:rFonts w:ascii="宋体" w:hAnsi="宋体" w:eastAsia="宋体"/>
          <w:color w:val="auto"/>
          <w:sz w:val="28"/>
          <w:szCs w:val="28"/>
          <w:lang w:eastAsia="zh-CN"/>
        </w:rPr>
        <w:t>不构成重大危险源。公司重点对危</w:t>
      </w:r>
      <w:r>
        <w:rPr>
          <w:rFonts w:hint="eastAsia" w:ascii="宋体" w:hAnsi="宋体" w:eastAsia="宋体"/>
          <w:color w:val="auto"/>
          <w:sz w:val="28"/>
          <w:szCs w:val="28"/>
          <w:lang w:eastAsia="zh-CN"/>
        </w:rPr>
        <w:t>库房一(仓库A)</w:t>
      </w:r>
      <w:r>
        <w:rPr>
          <w:rFonts w:ascii="宋体" w:hAnsi="宋体" w:eastAsia="宋体"/>
          <w:color w:val="auto"/>
          <w:sz w:val="28"/>
          <w:szCs w:val="28"/>
          <w:lang w:eastAsia="zh-CN"/>
        </w:rPr>
        <w:t>、</w:t>
      </w:r>
      <w:r>
        <w:rPr>
          <w:rFonts w:hint="eastAsia" w:ascii="宋体" w:hAnsi="宋体" w:eastAsia="宋体"/>
          <w:color w:val="auto"/>
          <w:sz w:val="28"/>
          <w:szCs w:val="28"/>
          <w:lang w:eastAsia="zh-CN"/>
        </w:rPr>
        <w:t>厂房四（厂房C）</w:t>
      </w:r>
      <w:r>
        <w:rPr>
          <w:rFonts w:ascii="宋体" w:hAnsi="宋体" w:eastAsia="宋体"/>
          <w:color w:val="auto"/>
          <w:sz w:val="28"/>
          <w:szCs w:val="28"/>
          <w:lang w:eastAsia="zh-CN"/>
        </w:rPr>
        <w:t>加以监控，为此建立了相应的安全管理制度及操作规程，通过层层签定责任状来落实，此外还设定专职安全员重点巡视关键点，负责人定期查阅《安全检查记录表》。</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综上所述，</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自取得安全生产许可证以来，日常安全生产管理情况符合要求。</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18" w:name="_Toc12092"/>
      <w:r>
        <w:rPr>
          <w:rFonts w:ascii="楷体_GB2312" w:hAnsi="Times New Roman" w:eastAsia="楷体_GB2312" w:cs="Times New Roman"/>
          <w:b/>
          <w:bCs w:val="0"/>
          <w:color w:val="auto"/>
          <w:kern w:val="2"/>
          <w:sz w:val="32"/>
          <w:lang w:val="en-US" w:eastAsia="zh-CN" w:bidi="ar-SA"/>
        </w:rPr>
        <w:t>9.4生产安全事故情况</w:t>
      </w:r>
      <w:bookmarkEnd w:id="118"/>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制定有事故管理制度，内容包括：事故的分类、事故的抢</w:t>
      </w:r>
      <w:bookmarkStart w:id="119" w:name="bookmark88"/>
      <w:r>
        <w:rPr>
          <w:rFonts w:ascii="宋体" w:hAnsi="宋体" w:eastAsia="宋体"/>
          <w:color w:val="auto"/>
          <w:sz w:val="28"/>
          <w:szCs w:val="28"/>
          <w:lang w:eastAsia="zh-CN"/>
        </w:rPr>
        <w:t>救、事故的报告、事故的调查、事故的处理、资料归档等；还制定有事故隐患整改制度，内容包括：事故隐患范围、事故隐患分类、隐患整改原则及要求、事故隐患的管理等；并制定有事故应急救援预案，配备了相应的应急救援设备，在发生事故时，能及时进行抢救。通过严格执行以上安全管理制度，能查出安全隐患并及时进行处理，有效预防事故的发生。</w:t>
      </w:r>
      <w:bookmarkEnd w:id="119"/>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在安全生产方面，公司建立三级管理责任制并设立安全奖励考核制度，严格执行安全生产责任制、管理制度及操作规程，保证劳动保护措施制度到位、执行到位，取证至今从未发生过生产安全事故，也没有发生过消防安全事故。</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综上所述，</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自取得安全生产许可证以来，从未发生过任何事故，安全状况良好。</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20" w:name="_Toc567"/>
      <w:bookmarkStart w:id="121" w:name="bookmark89"/>
      <w:r>
        <w:rPr>
          <w:rFonts w:ascii="楷体_GB2312" w:hAnsi="Times New Roman" w:eastAsia="楷体_GB2312" w:cs="Times New Roman"/>
          <w:b/>
          <w:bCs w:val="0"/>
          <w:color w:val="auto"/>
          <w:kern w:val="2"/>
          <w:sz w:val="32"/>
          <w:lang w:val="en-US" w:eastAsia="zh-CN" w:bidi="ar-SA"/>
        </w:rPr>
        <w:t>9.5从业人员安全条件(安全教育培训)情况</w:t>
      </w:r>
      <w:bookmarkEnd w:id="120"/>
      <w:bookmarkEnd w:id="121"/>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依据《危险化学品生产企业安全生产许可证实施办法》(安监总局令第41号，安监总局令第79号修改)、《关于认真贯彻危险化学品生产企业安全生产许可证实施办法的补充通知》(粤安监〔2012〕56号)、《关于规范危险化学品生产企业从业人员从业条件的指导意见》(粤安监〔2009〕374号)等的要求，本节对该公司人员进行安全条件专项分析，分级结果见表9-2。</w:t>
      </w:r>
    </w:p>
    <w:p>
      <w:pPr>
        <w:spacing w:line="560" w:lineRule="exact"/>
        <w:jc w:val="center"/>
        <w:rPr>
          <w:rFonts w:ascii="宋体" w:hAnsi="宋体" w:eastAsia="宋体"/>
          <w:b/>
          <w:color w:val="auto"/>
          <w:lang w:eastAsia="zh-CN"/>
        </w:rPr>
      </w:pPr>
      <w:r>
        <w:rPr>
          <w:rFonts w:ascii="宋体" w:hAnsi="宋体" w:eastAsia="宋体"/>
          <w:b/>
          <w:color w:val="auto"/>
          <w:lang w:eastAsia="zh-CN"/>
        </w:rPr>
        <w:t>表9</w:t>
      </w:r>
      <w:r>
        <w:rPr>
          <w:rFonts w:ascii="宋体" w:hAnsi="宋体" w:eastAsia="PMingLiU"/>
          <w:b/>
          <w:color w:val="auto"/>
        </w:rPr>
        <w:t>-</w:t>
      </w:r>
      <w:r>
        <w:rPr>
          <w:rFonts w:ascii="宋体" w:hAnsi="宋体" w:eastAsia="宋体"/>
          <w:b/>
          <w:color w:val="auto"/>
          <w:lang w:eastAsia="zh-CN"/>
        </w:rPr>
        <w:t>2从业人员安全条件分析表</w:t>
      </w:r>
    </w:p>
    <w:tbl>
      <w:tblPr>
        <w:tblStyle w:val="46"/>
        <w:tblW w:w="91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3625"/>
        <w:gridCol w:w="2448"/>
        <w:gridCol w:w="31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3625"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检查项目</w:t>
            </w:r>
          </w:p>
        </w:tc>
        <w:tc>
          <w:tcPr>
            <w:tcW w:w="2448"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法律依据</w:t>
            </w:r>
          </w:p>
        </w:tc>
        <w:tc>
          <w:tcPr>
            <w:tcW w:w="3125" w:type="dxa"/>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实际情况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6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1.企业主要负责人、分管安全负责人和安全生产管理人员必须具备与其从事的生产经营活动相适应的安全生产知识和管理能力，依法参加安全生产培训，并经考核合格，取得安全资格证书。</w:t>
            </w:r>
          </w:p>
        </w:tc>
        <w:tc>
          <w:tcPr>
            <w:tcW w:w="2448"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《危险化学品生产企业安全生产许可证实施办法》(安监总局令第41号，安监总局令第79号修改)</w:t>
            </w:r>
          </w:p>
        </w:tc>
        <w:tc>
          <w:tcPr>
            <w:tcW w:w="31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eastAsia" w:ascii="宋体" w:hAnsi="宋体" w:eastAsia="宋体"/>
                <w:color w:val="auto"/>
                <w:kern w:val="2"/>
                <w:sz w:val="21"/>
                <w:szCs w:val="21"/>
                <w:lang w:eastAsia="zh-CN"/>
              </w:rPr>
              <w:t>1.</w:t>
            </w:r>
            <w:r>
              <w:rPr>
                <w:rFonts w:hint="default" w:ascii="宋体" w:hAnsi="宋体" w:eastAsia="宋体"/>
                <w:color w:val="auto"/>
                <w:kern w:val="2"/>
                <w:sz w:val="21"/>
                <w:szCs w:val="21"/>
              </w:rPr>
              <w:t>企业主要负责人</w:t>
            </w:r>
            <w:r>
              <w:rPr>
                <w:rFonts w:hint="eastAsia" w:ascii="宋体" w:hAnsi="宋体" w:eastAsia="宋体"/>
                <w:color w:val="auto"/>
                <w:kern w:val="2"/>
                <w:sz w:val="21"/>
                <w:szCs w:val="21"/>
                <w:lang w:eastAsia="zh-CN"/>
              </w:rPr>
              <w:t>、</w:t>
            </w:r>
            <w:r>
              <w:rPr>
                <w:rFonts w:hint="default" w:ascii="宋体" w:hAnsi="宋体" w:eastAsia="宋体"/>
                <w:color w:val="auto"/>
                <w:kern w:val="2"/>
                <w:sz w:val="21"/>
                <w:szCs w:val="21"/>
              </w:rPr>
              <w:t>安全</w:t>
            </w:r>
            <w:r>
              <w:rPr>
                <w:rFonts w:hint="eastAsia" w:ascii="宋体" w:hAnsi="宋体" w:eastAsia="宋体"/>
                <w:color w:val="auto"/>
                <w:kern w:val="2"/>
                <w:sz w:val="21"/>
                <w:szCs w:val="21"/>
                <w:lang w:eastAsia="zh-CN"/>
              </w:rPr>
              <w:t>管理人员均有培训合格证</w:t>
            </w:r>
            <w:r>
              <w:rPr>
                <w:rFonts w:hint="default" w:ascii="宋体" w:hAnsi="宋体" w:eastAsia="宋体"/>
                <w:color w:val="auto"/>
                <w:kern w:val="2"/>
                <w:sz w:val="21"/>
                <w:szCs w:val="21"/>
              </w:rPr>
              <w:t>，主要负责人和</w:t>
            </w:r>
            <w:r>
              <w:rPr>
                <w:rFonts w:hint="eastAsia" w:ascii="宋体" w:hAnsi="宋体" w:eastAsia="宋体"/>
                <w:color w:val="auto"/>
                <w:kern w:val="2"/>
                <w:sz w:val="21"/>
                <w:szCs w:val="21"/>
                <w:lang w:eastAsia="zh-CN"/>
              </w:rPr>
              <w:t>安全管理人员</w:t>
            </w:r>
            <w:r>
              <w:rPr>
                <w:rFonts w:hint="default" w:ascii="宋体" w:hAnsi="宋体" w:eastAsia="宋体"/>
                <w:color w:val="auto"/>
                <w:kern w:val="2"/>
                <w:sz w:val="21"/>
                <w:szCs w:val="21"/>
              </w:rPr>
              <w:t>具备与其从事的生产经营活动相适应的安全生产知识和管理能力；</w:t>
            </w:r>
          </w:p>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eastAsia" w:ascii="宋体" w:hAnsi="宋体" w:eastAsia="宋体"/>
                <w:color w:val="auto"/>
                <w:kern w:val="2"/>
                <w:sz w:val="21"/>
                <w:szCs w:val="21"/>
                <w:lang w:eastAsia="zh-CN"/>
              </w:rPr>
              <w:t>2.</w:t>
            </w:r>
            <w:r>
              <w:rPr>
                <w:rFonts w:hint="default" w:ascii="宋体" w:hAnsi="宋体" w:eastAsia="宋体"/>
                <w:color w:val="auto"/>
                <w:kern w:val="2"/>
                <w:sz w:val="21"/>
                <w:szCs w:val="21"/>
              </w:rPr>
              <w:t>专职安全管理经过培训，并考核合格。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6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bookmarkStart w:id="122" w:name="bookmark90"/>
            <w:r>
              <w:rPr>
                <w:rFonts w:hint="default" w:ascii="宋体" w:hAnsi="宋体" w:eastAsia="宋体"/>
                <w:color w:val="auto"/>
                <w:kern w:val="2"/>
                <w:sz w:val="21"/>
                <w:szCs w:val="21"/>
              </w:rPr>
              <w:t>2.企业分管安全负责人、分管生产负责人、分管技术负责人应当具有一定的化工专业知识或者相应的专业学历，专职安全生产管理人员应当具备国民教育化工化学类(或安全工程)中等职业教育以上学历或者化工化学类中级以上专业技术职称，或者具备危险物品安全类注册安全工程师资格。</w:t>
            </w:r>
            <w:bookmarkEnd w:id="122"/>
          </w:p>
        </w:tc>
        <w:tc>
          <w:tcPr>
            <w:tcW w:w="2448"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《危险化学品生产企业安全生产许可证实施办法》(安监总局令第41号，安监总局令第79号修改)</w:t>
            </w:r>
          </w:p>
        </w:tc>
        <w:tc>
          <w:tcPr>
            <w:tcW w:w="31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该公司主要负责人、</w:t>
            </w:r>
            <w:r>
              <w:rPr>
                <w:rFonts w:hint="eastAsia" w:ascii="宋体" w:hAnsi="宋体" w:eastAsia="宋体"/>
                <w:color w:val="auto"/>
                <w:kern w:val="2"/>
                <w:sz w:val="21"/>
                <w:szCs w:val="21"/>
                <w:lang w:eastAsia="zh-CN"/>
              </w:rPr>
              <w:t>安全管理人员</w:t>
            </w:r>
            <w:r>
              <w:rPr>
                <w:rFonts w:hint="default" w:ascii="宋体" w:hAnsi="宋体" w:eastAsia="宋体"/>
                <w:color w:val="auto"/>
                <w:kern w:val="2"/>
                <w:sz w:val="21"/>
                <w:szCs w:val="21"/>
              </w:rPr>
              <w:t>具有从事化工生产行业多年生产经验，具有相关的化工专业知识。专职安全管理人员具备注册安全工程师资格。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6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3.作业人员应当依照《特种作业人员安全技术培训考核管理规定》，经专门的安全技术培训并考核合格，取得特种作业操作证书。</w:t>
            </w:r>
          </w:p>
        </w:tc>
        <w:tc>
          <w:tcPr>
            <w:tcW w:w="2448"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《危险化学品生产企业安全生产许可证实施办法》(安监总局令第41号，安监总局令第79号修改)</w:t>
            </w:r>
          </w:p>
        </w:tc>
        <w:tc>
          <w:tcPr>
            <w:tcW w:w="31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该公司特种作业人员有资格证书。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6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4.从业人员应当按照国家有关规定，经安全教育培训合格。</w:t>
            </w:r>
          </w:p>
        </w:tc>
        <w:tc>
          <w:tcPr>
            <w:tcW w:w="2448"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《关于规范危险化学品生产企业从业人员从业条件的指导意见》(粤安监〔2009〕374号)</w:t>
            </w:r>
          </w:p>
        </w:tc>
        <w:tc>
          <w:tcPr>
            <w:tcW w:w="3125" w:type="dxa"/>
            <w:shd w:val="clear" w:color="auto" w:fill="FFFFFF"/>
            <w:vAlign w:val="center"/>
          </w:tcPr>
          <w:p>
            <w:pPr>
              <w:keepNext w:val="0"/>
              <w:keepLines w:val="0"/>
              <w:suppressLineNumbers w:val="0"/>
              <w:spacing w:before="0" w:beforeAutospacing="0" w:after="0" w:afterAutospacing="0" w:line="240" w:lineRule="auto"/>
              <w:ind w:left="143" w:leftChars="59" w:right="62" w:rightChars="26" w:hanging="1"/>
              <w:rPr>
                <w:rFonts w:hint="default" w:ascii="宋体" w:hAnsi="宋体" w:eastAsia="宋体"/>
                <w:color w:val="auto"/>
                <w:kern w:val="2"/>
                <w:sz w:val="21"/>
                <w:szCs w:val="21"/>
              </w:rPr>
            </w:pPr>
            <w:r>
              <w:rPr>
                <w:rFonts w:hint="default" w:ascii="宋体" w:hAnsi="宋体" w:eastAsia="宋体"/>
                <w:color w:val="auto"/>
                <w:kern w:val="2"/>
                <w:sz w:val="21"/>
                <w:szCs w:val="21"/>
              </w:rPr>
              <w:t>该公司员工全部经过公司培训合格。</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425" w:firstLineChars="152"/>
        <w:jc w:val="both"/>
        <w:textAlignment w:val="auto"/>
        <w:rPr>
          <w:rFonts w:ascii="宋体" w:hAnsi="宋体" w:eastAsia="宋体"/>
          <w:color w:val="auto"/>
          <w:sz w:val="28"/>
          <w:szCs w:val="28"/>
          <w:lang w:eastAsia="zh-CN"/>
        </w:rPr>
      </w:pPr>
      <w:r>
        <w:rPr>
          <w:rFonts w:ascii="宋体" w:hAnsi="宋体" w:eastAsia="宋体"/>
          <w:color w:val="auto"/>
          <w:sz w:val="28"/>
          <w:szCs w:val="28"/>
          <w:lang w:eastAsia="zh-CN"/>
        </w:rPr>
        <w:t>通过上述核对检查该公司从业人员基本情况，该公司主要负责人、安全管理人员、特种作业人员都持有相关证书。专职安全管理人员具备注册安全工程师资格，满足国家、省市安监部门对安全管理人员资质的要求。</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综上所述，</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自领安全生产许可证以来，从业人员的安全教育培训符合要求。</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23" w:name="bookmark91"/>
      <w:bookmarkStart w:id="124" w:name="_Toc30943"/>
      <w:r>
        <w:rPr>
          <w:rFonts w:ascii="楷体_GB2312" w:hAnsi="Times New Roman" w:eastAsia="楷体_GB2312" w:cs="Times New Roman"/>
          <w:b/>
          <w:bCs w:val="0"/>
          <w:color w:val="auto"/>
          <w:kern w:val="2"/>
          <w:sz w:val="32"/>
          <w:lang w:val="en-US" w:eastAsia="zh-CN" w:bidi="ar-SA"/>
        </w:rPr>
        <w:t>9.6事故应急救援预案培训和演练情况</w:t>
      </w:r>
      <w:bookmarkEnd w:id="123"/>
      <w:bookmarkEnd w:id="124"/>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按照《生产经营单位安全生产事故应急预案编制导则》(GB/T29639-2013)的要求编制了《</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生产安全事故应急预案》，预案经审查通过，取得了《生产经营单位生产安全事故应急预案备案登记表》。</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成立了应急救援组织，设置了应急救援人员，确定了各应</w:t>
      </w:r>
      <w:bookmarkStart w:id="125" w:name="bookmark92"/>
      <w:r>
        <w:rPr>
          <w:rFonts w:ascii="宋体" w:hAnsi="宋体" w:eastAsia="宋体"/>
          <w:color w:val="auto"/>
          <w:sz w:val="28"/>
          <w:szCs w:val="28"/>
          <w:lang w:eastAsia="zh-CN"/>
        </w:rPr>
        <w:t>急救援人员的职责。公司成立了以公司主要负责人为总指挥的事故应急救援指挥机构。</w:t>
      </w:r>
      <w:bookmarkEnd w:id="125"/>
      <w:r>
        <w:rPr>
          <w:rFonts w:ascii="宋体" w:hAnsi="宋体" w:eastAsia="宋体"/>
          <w:color w:val="auto"/>
          <w:sz w:val="28"/>
          <w:szCs w:val="28"/>
          <w:lang w:eastAsia="zh-CN"/>
        </w:rPr>
        <w:t>公司按计划对综合应急预案每年演练一次，现场处置方案每半年演练一次。演练结束后，对演练过程进行总结评估，提出改进意见。有相关演练记录。</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综上所述，</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根据自己的实际情况，制定了事故应急救援预案，并组织员工学习，定期进行演练，其自取得安全生产许可证以来，事故应急救援预案培训及演练情况符合</w:t>
      </w: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应急救援的实际要求。</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在事故应急救援预案培训和演练方面，严格执行预案各项基础工作。公司每年举行两次全员参加的消防大演习，并对演习效果进行评价。</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26" w:name="_Toc28495"/>
      <w:r>
        <w:rPr>
          <w:rFonts w:ascii="楷体_GB2312" w:hAnsi="Times New Roman" w:eastAsia="楷体_GB2312" w:cs="Times New Roman"/>
          <w:b/>
          <w:bCs w:val="0"/>
          <w:color w:val="auto"/>
          <w:kern w:val="2"/>
          <w:sz w:val="32"/>
          <w:lang w:val="en-US" w:eastAsia="zh-CN" w:bidi="ar-SA"/>
        </w:rPr>
        <w:t>9.7生产范围、生产场所、生产装置、储存设施等发生变化情况</w:t>
      </w:r>
      <w:bookmarkEnd w:id="126"/>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优诺公司</w:t>
      </w:r>
      <w:r>
        <w:rPr>
          <w:rFonts w:ascii="宋体" w:hAnsi="宋体" w:eastAsia="宋体"/>
          <w:color w:val="auto"/>
          <w:sz w:val="28"/>
          <w:szCs w:val="28"/>
          <w:lang w:eastAsia="zh-CN"/>
        </w:rPr>
        <w:t>严格按照生产许可证核准的范围进行生产，没有擅自改变生产工艺流程，没有擅自扩大生产规模，生产作业场所、储存场所保持领取安全生产许可证时的状态。</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在本次换证评价阶段，单位主要负责人为</w:t>
      </w:r>
      <w:r>
        <w:rPr>
          <w:rFonts w:hint="eastAsia" w:ascii="宋体" w:hAnsi="宋体" w:eastAsia="宋体"/>
          <w:color w:val="auto"/>
          <w:sz w:val="28"/>
          <w:szCs w:val="28"/>
          <w:lang w:eastAsia="zh-CN"/>
        </w:rPr>
        <w:t>白映月</w:t>
      </w:r>
      <w:r>
        <w:rPr>
          <w:rFonts w:ascii="宋体" w:hAnsi="宋体" w:eastAsia="宋体"/>
          <w:color w:val="auto"/>
          <w:sz w:val="28"/>
          <w:szCs w:val="28"/>
          <w:lang w:eastAsia="zh-CN"/>
        </w:rPr>
        <w:t>，保持原有的生产设备和工艺。其生产设备满足安全生产条件。</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27" w:name="_Toc16699"/>
      <w:r>
        <w:rPr>
          <w:rFonts w:ascii="楷体_GB2312" w:hAnsi="Times New Roman" w:eastAsia="楷体_GB2312" w:cs="Times New Roman"/>
          <w:b/>
          <w:bCs w:val="0"/>
          <w:color w:val="auto"/>
          <w:kern w:val="2"/>
          <w:sz w:val="32"/>
          <w:lang w:val="en-US" w:eastAsia="zh-CN" w:bidi="ar-SA"/>
        </w:rPr>
        <w:t>9.</w:t>
      </w:r>
      <w:r>
        <w:rPr>
          <w:rFonts w:hint="eastAsia" w:ascii="楷体_GB2312" w:hAnsi="Times New Roman" w:eastAsia="楷体_GB2312" w:cs="Times New Roman"/>
          <w:b/>
          <w:bCs w:val="0"/>
          <w:color w:val="auto"/>
          <w:kern w:val="2"/>
          <w:sz w:val="32"/>
          <w:lang w:val="en-US" w:eastAsia="zh-CN" w:bidi="ar-SA"/>
        </w:rPr>
        <w:t>8</w:t>
      </w:r>
      <w:r>
        <w:rPr>
          <w:rFonts w:ascii="楷体_GB2312" w:hAnsi="Times New Roman" w:eastAsia="楷体_GB2312" w:cs="Times New Roman"/>
          <w:b/>
          <w:bCs w:val="0"/>
          <w:color w:val="auto"/>
          <w:kern w:val="2"/>
          <w:sz w:val="32"/>
          <w:lang w:val="en-US" w:eastAsia="zh-CN" w:bidi="ar-SA"/>
        </w:rPr>
        <w:t>安全设施设备合规性专项评价</w:t>
      </w:r>
      <w:bookmarkEnd w:id="127"/>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安全警示标志、标识</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生产车间、仓库实行定置管理，划定定置管理标线。</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在作业岗位的醒目位置，设置了危险化学品安全周知牌(卡)。</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在作业场所的显著位置，设置了“禁止烟火”、“必须戴口罩”、“必须戴防护手套”、“注意通风”等安全标识。</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可能产生职业病危害的化学品，产品包装设置了醒目的相应的警示标识和简明中文警示说明。警示说明载明产品特性、存在的有害因素、可能产生的危害后果，安全使用注意事项以及应急救治措施内容。</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仓库设置了相应的警示标识以及简明中文警示说明。</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该公司有按照《关于规范危险化学品生产、储存企业作业场所安全标志标识的通知》(粤安监管三〔2011〕50号)的要求在主大门内的醒目、显要处设置“厂区总平面布置图”。</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7</w:t>
      </w:r>
      <w:r>
        <w:rPr>
          <w:rFonts w:hint="eastAsia" w:ascii="宋体" w:hAnsi="宋体" w:eastAsia="宋体"/>
          <w:color w:val="auto"/>
          <w:sz w:val="28"/>
          <w:szCs w:val="28"/>
          <w:lang w:eastAsia="zh-CN"/>
        </w:rPr>
        <w:t>)</w:t>
      </w:r>
      <w:r>
        <w:rPr>
          <w:rFonts w:ascii="宋体" w:hAnsi="宋体" w:eastAsia="宋体"/>
          <w:color w:val="auto"/>
          <w:sz w:val="28"/>
          <w:szCs w:val="28"/>
        </w:rPr>
        <w:t>在作业场所设置急救箱、冲洗设施，一旦有害物料接触皮肤或溅入眼睛时，能及时冲洗和进行急救。</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该单位的安全警示标志、标识符合《化学品分类和危险性公示通则》(GB13690-2009)、《工业场所职业病危害警示标识》(GBZ158-2003)和《安全标志及其使用导则》(GB2894-2008)的有关要求。</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防雷</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防雷设施经防雷设施检测所检测合格，取得《广东省防雷设施合格证》及检测报告。</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可燃气体报警</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该公司车间、仓库内设置了可燃气体浓度检测报警装置，检测有效半径</w:t>
      </w:r>
      <w:r>
        <w:rPr>
          <w:rFonts w:hint="eastAsia" w:ascii="宋体" w:hAnsi="宋体" w:eastAsia="宋体"/>
          <w:color w:val="auto"/>
          <w:sz w:val="28"/>
          <w:szCs w:val="28"/>
          <w:lang w:eastAsia="zh-CN"/>
        </w:rPr>
        <w:t>不大于5</w:t>
      </w:r>
      <w:r>
        <w:rPr>
          <w:rFonts w:ascii="宋体" w:hAnsi="宋体" w:eastAsia="宋体"/>
          <w:color w:val="auto"/>
          <w:sz w:val="28"/>
          <w:szCs w:val="28"/>
        </w:rPr>
        <w:t>m，安装高度在0.3-0.6m之间。</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电气安全</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企业</w:t>
      </w:r>
      <w:r>
        <w:rPr>
          <w:rFonts w:hint="eastAsia" w:ascii="宋体" w:hAnsi="宋体" w:eastAsia="宋体"/>
          <w:color w:val="auto"/>
          <w:sz w:val="28"/>
          <w:szCs w:val="28"/>
          <w:lang w:eastAsia="zh-CN"/>
        </w:rPr>
        <w:t>厂房四（厂房C）</w:t>
      </w:r>
      <w:r>
        <w:rPr>
          <w:rFonts w:ascii="宋体" w:hAnsi="宋体" w:eastAsia="宋体"/>
          <w:color w:val="auto"/>
          <w:sz w:val="28"/>
          <w:szCs w:val="28"/>
        </w:rPr>
        <w:t>和</w:t>
      </w:r>
      <w:r>
        <w:rPr>
          <w:rFonts w:hint="eastAsia" w:ascii="宋体" w:hAnsi="宋体" w:eastAsia="宋体"/>
          <w:color w:val="auto"/>
          <w:sz w:val="28"/>
          <w:szCs w:val="28"/>
          <w:lang w:eastAsia="zh-CN"/>
        </w:rPr>
        <w:t>库房一(仓库A)</w:t>
      </w:r>
      <w:r>
        <w:rPr>
          <w:rFonts w:ascii="宋体" w:hAnsi="宋体" w:eastAsia="宋体"/>
          <w:color w:val="auto"/>
          <w:sz w:val="28"/>
          <w:szCs w:val="28"/>
        </w:rPr>
        <w:t>内采用防爆电气，电气线路套钢管保护，并定期对电气设备进行检查，确保其处于良好运行状态。</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防静电</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该项目</w:t>
      </w:r>
      <w:r>
        <w:rPr>
          <w:rFonts w:hint="eastAsia" w:ascii="宋体" w:hAnsi="宋体" w:eastAsia="宋体"/>
          <w:color w:val="auto"/>
          <w:sz w:val="28"/>
          <w:szCs w:val="28"/>
          <w:lang w:eastAsia="zh-CN"/>
        </w:rPr>
        <w:t>厂房四（厂房C）</w:t>
      </w:r>
      <w:r>
        <w:rPr>
          <w:rFonts w:ascii="宋体" w:hAnsi="宋体" w:eastAsia="宋体"/>
          <w:color w:val="auto"/>
          <w:sz w:val="28"/>
          <w:szCs w:val="28"/>
        </w:rPr>
        <w:t>和</w:t>
      </w:r>
      <w:r>
        <w:rPr>
          <w:rFonts w:hint="eastAsia" w:ascii="宋体" w:hAnsi="宋体" w:eastAsia="宋体"/>
          <w:color w:val="auto"/>
          <w:sz w:val="28"/>
          <w:szCs w:val="28"/>
          <w:lang w:eastAsia="zh-CN"/>
        </w:rPr>
        <w:t>库房一(仓库A)</w:t>
      </w:r>
      <w:r>
        <w:rPr>
          <w:rFonts w:ascii="宋体" w:hAnsi="宋体" w:eastAsia="宋体"/>
          <w:color w:val="auto"/>
          <w:sz w:val="28"/>
          <w:szCs w:val="28"/>
        </w:rPr>
        <w:t>设置了防静电设施，经现场检查，防静电设施能导出静电。</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消防设施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消防系统包括</w:t>
      </w:r>
      <w:r>
        <w:rPr>
          <w:rFonts w:hint="eastAsia" w:ascii="宋体" w:hAnsi="宋体" w:eastAsia="宋体"/>
          <w:color w:val="auto"/>
          <w:sz w:val="28"/>
          <w:szCs w:val="28"/>
          <w:lang w:eastAsia="zh-CN"/>
        </w:rPr>
        <w:t>消防水栓系统以及</w:t>
      </w:r>
      <w:r>
        <w:rPr>
          <w:rFonts w:ascii="宋体" w:hAnsi="宋体" w:eastAsia="宋体"/>
          <w:color w:val="auto"/>
          <w:sz w:val="28"/>
          <w:szCs w:val="28"/>
        </w:rPr>
        <w:t>移动式灭火器系统。消防水源为市政自来水，配备消防水池和专用消防泵，消防水池容积为</w:t>
      </w:r>
      <w:r>
        <w:rPr>
          <w:rFonts w:hint="eastAsia" w:ascii="宋体" w:hAnsi="宋体" w:eastAsia="宋体"/>
          <w:color w:val="auto"/>
          <w:sz w:val="28"/>
          <w:szCs w:val="28"/>
          <w:lang w:val="en-US" w:eastAsia="zh-CN"/>
        </w:rPr>
        <w:t>200</w:t>
      </w:r>
      <w:r>
        <w:rPr>
          <w:rFonts w:ascii="宋体" w:hAnsi="宋体" w:eastAsia="宋体"/>
          <w:color w:val="auto"/>
          <w:sz w:val="28"/>
          <w:szCs w:val="28"/>
        </w:rPr>
        <w:t>㎡。</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企业已按照《建筑灭火器配置设计规范》的要求，各建、构筑物均配备了相应的灭火器材。车间、仓库均安装了可燃气体探测系统。</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厂区消防设施</w:t>
      </w:r>
      <w:r>
        <w:rPr>
          <w:rFonts w:hint="eastAsia" w:ascii="宋体" w:hAnsi="宋体" w:eastAsia="宋体"/>
          <w:color w:val="auto"/>
          <w:sz w:val="28"/>
          <w:szCs w:val="28"/>
          <w:lang w:eastAsia="zh-CN"/>
        </w:rPr>
        <w:t>曾分别经东莞市公安消防局大岭山大队、东莞市公安消防局第一大队、东莞市公安局大岭山分局</w:t>
      </w:r>
      <w:r>
        <w:rPr>
          <w:rFonts w:ascii="宋体" w:hAnsi="宋体" w:eastAsia="宋体"/>
          <w:color w:val="auto"/>
          <w:sz w:val="28"/>
          <w:szCs w:val="28"/>
        </w:rPr>
        <w:t>验收合格，持有《建设工程消防验收意见书》，编号：</w:t>
      </w:r>
      <w:r>
        <w:rPr>
          <w:rFonts w:hint="eastAsia" w:ascii="宋体" w:hAnsi="宋体" w:eastAsia="宋体"/>
          <w:color w:val="auto"/>
          <w:sz w:val="28"/>
          <w:szCs w:val="28"/>
          <w:lang w:eastAsia="zh-CN"/>
        </w:rPr>
        <w:t>东公岭消验字</w:t>
      </w:r>
      <w:r>
        <w:rPr>
          <w:rFonts w:hint="eastAsia" w:ascii="宋体" w:hAnsi="宋体" w:eastAsia="宋体"/>
          <w:color w:val="auto"/>
          <w:sz w:val="28"/>
          <w:szCs w:val="28"/>
          <w:lang w:val="en-US" w:eastAsia="zh-CN"/>
        </w:rPr>
        <w:t>[2016]第0073号、东公消验字[2007]第01-448号、东公消验字[2006]第30-0004</w:t>
      </w:r>
      <w:r>
        <w:rPr>
          <w:rFonts w:ascii="宋体" w:hAnsi="宋体" w:eastAsia="宋体"/>
          <w:color w:val="auto"/>
          <w:sz w:val="28"/>
          <w:szCs w:val="28"/>
        </w:rPr>
        <w:t>。</w:t>
      </w:r>
    </w:p>
    <w:p>
      <w:pPr>
        <w:spacing w:line="360" w:lineRule="auto"/>
        <w:ind w:firstLine="425" w:firstLineChars="152"/>
        <w:jc w:val="both"/>
        <w:rPr>
          <w:rFonts w:ascii="宋体" w:hAnsi="宋体" w:eastAsia="PMingLiU"/>
          <w:color w:val="auto"/>
          <w:sz w:val="28"/>
          <w:szCs w:val="28"/>
        </w:rPr>
      </w:pPr>
      <w:r>
        <w:rPr>
          <w:rFonts w:ascii="宋体" w:hAnsi="宋体" w:eastAsia="宋体"/>
          <w:color w:val="auto"/>
          <w:sz w:val="28"/>
          <w:szCs w:val="28"/>
        </w:rPr>
        <w:t>综上所述，该项目的安全设施、设备符合国家法律法规、标准规范要求，处于正常使用状态。</w:t>
      </w:r>
      <w:bookmarkStart w:id="128" w:name="bookmark95"/>
      <w:bookmarkStart w:id="129" w:name="bookmark94"/>
    </w:p>
    <w:p>
      <w:pPr>
        <w:spacing w:line="360" w:lineRule="auto"/>
        <w:ind w:firstLine="425" w:firstLineChars="152"/>
        <w:jc w:val="both"/>
        <w:rPr>
          <w:rFonts w:ascii="宋体" w:hAnsi="宋体" w:eastAsia="PMingLiU"/>
          <w:color w:val="auto"/>
          <w:sz w:val="28"/>
          <w:szCs w:val="28"/>
        </w:rPr>
      </w:pPr>
    </w:p>
    <w:p>
      <w:pPr>
        <w:pStyle w:val="3"/>
        <w:spacing w:after="120"/>
        <w:rPr>
          <w:snapToGrid/>
          <w:color w:val="auto"/>
        </w:rPr>
      </w:pPr>
      <w:r>
        <w:rPr>
          <w:snapToGrid/>
          <w:color w:val="auto"/>
        </w:rPr>
        <w:br w:type="page"/>
      </w:r>
    </w:p>
    <w:p>
      <w:pPr>
        <w:pStyle w:val="3"/>
        <w:spacing w:after="120" w:line="360" w:lineRule="auto"/>
        <w:rPr>
          <w:b/>
          <w:bCs/>
          <w:snapToGrid/>
          <w:color w:val="auto"/>
        </w:rPr>
      </w:pPr>
      <w:bookmarkStart w:id="130" w:name="_Toc7793"/>
      <w:r>
        <w:rPr>
          <w:b/>
          <w:bCs/>
          <w:snapToGrid/>
          <w:color w:val="auto"/>
        </w:rPr>
        <w:t>10企业清净下水措施</w:t>
      </w:r>
      <w:bookmarkEnd w:id="128"/>
      <w:bookmarkEnd w:id="129"/>
      <w:bookmarkEnd w:id="130"/>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根据《关于督促化工企业切实做好几项安全环保重点工作的紧急通知》(安监总危化[2006]10号)的要求，为提高公司在突发性化学品泄漏事故和火灾爆炸事故发生后的“清净下水”处置工作，减少环境污染，及时、有效进行污染现场处置和环境救治，最大限度地减少事故对人员、财产及环境造成的危害。根据国家和省、市有关环境污染事故应急处理的规定和有关要求，结合公司实际情况，制定了符合公司实际情况的“清净下水”处理措施。</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对于事故状态下的“清净下水”，该公司在</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门口设置有收容井，盖有盖板，可防止少量泄漏物料散流至室外。</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此外，还在</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与北侧围墙之间</w:t>
      </w:r>
      <w:r>
        <w:rPr>
          <w:rFonts w:ascii="宋体" w:hAnsi="宋体" w:eastAsia="宋体"/>
          <w:color w:val="auto"/>
          <w:sz w:val="28"/>
          <w:szCs w:val="28"/>
        </w:rPr>
        <w:t>设置</w:t>
      </w:r>
      <w:r>
        <w:rPr>
          <w:rFonts w:hint="eastAsia" w:ascii="宋体" w:hAnsi="宋体" w:eastAsia="宋体"/>
          <w:color w:val="auto"/>
          <w:sz w:val="28"/>
          <w:szCs w:val="28"/>
        </w:rPr>
        <w:t>有事故应急</w:t>
      </w:r>
      <w:r>
        <w:rPr>
          <w:rFonts w:ascii="宋体" w:hAnsi="宋体" w:eastAsia="宋体"/>
          <w:color w:val="auto"/>
          <w:sz w:val="28"/>
          <w:szCs w:val="28"/>
        </w:rPr>
        <w:t>池，用于事故状态下</w:t>
      </w:r>
      <w:r>
        <w:rPr>
          <w:rFonts w:hint="eastAsia" w:ascii="宋体" w:hAnsi="宋体" w:eastAsia="宋体"/>
          <w:color w:val="auto"/>
          <w:sz w:val="28"/>
          <w:szCs w:val="28"/>
        </w:rPr>
        <w:t>废水的收集，</w:t>
      </w:r>
      <w:r>
        <w:rPr>
          <w:rFonts w:ascii="宋体" w:hAnsi="宋体" w:eastAsia="宋体"/>
          <w:color w:val="auto"/>
          <w:sz w:val="28"/>
          <w:szCs w:val="28"/>
        </w:rPr>
        <w:t>容积</w:t>
      </w:r>
      <w:r>
        <w:rPr>
          <w:rFonts w:hint="eastAsia" w:ascii="宋体" w:hAnsi="宋体" w:eastAsia="宋体"/>
          <w:color w:val="auto"/>
          <w:sz w:val="28"/>
          <w:szCs w:val="28"/>
        </w:rPr>
        <w:t>为200m</w:t>
      </w:r>
      <w:r>
        <w:rPr>
          <w:rFonts w:ascii="宋体" w:hAnsi="宋体" w:eastAsia="宋体"/>
          <w:color w:val="auto"/>
          <w:sz w:val="28"/>
          <w:szCs w:val="28"/>
        </w:rPr>
        <w:t>³</w:t>
      </w:r>
      <w:r>
        <w:rPr>
          <w:rFonts w:hint="eastAsia" w:ascii="宋体" w:hAnsi="宋体" w:eastAsia="宋体"/>
          <w:color w:val="auto"/>
          <w:sz w:val="28"/>
          <w:szCs w:val="28"/>
        </w:rPr>
        <w:t>。在收集池的入口处设置有阀门，平时进入收集池的阀门关闭，雨水可以直接排入市政排水系统，当有“事故水”外流至库外或车间外时，将进入收集池的阀门打开，这样流至库外或车间外的事故水就可以直接进入到收集池当中。然后由专业的污水处理机构将污水运走进行专业处理。应急池是露天的，公司定期清理池内的雨水，避免因雨水太多，影响应急池的有效容积。</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公司每年定期对员工进行应急响应的培训，培训通过集中上课的方式进行，学习事故处理措施、化学防护用品的使用及堵漏、污染预防与消除等基本知识。并将事故应急措施、基本防护知识印发给员工，让员工学习掌握。</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通过以上的各种措施，评价组认为该公司在落实事故状态下防止环境污染的各项措施是科学的、有效的。</w:t>
      </w:r>
    </w:p>
    <w:p>
      <w:pPr>
        <w:spacing w:line="560" w:lineRule="exact"/>
        <w:ind w:firstLine="425" w:firstLineChars="152"/>
        <w:rPr>
          <w:rFonts w:ascii="宋体" w:hAnsi="宋体" w:eastAsia="宋体"/>
          <w:color w:val="auto"/>
          <w:sz w:val="28"/>
          <w:szCs w:val="28"/>
        </w:rPr>
      </w:pPr>
      <w:bookmarkStart w:id="131" w:name="bookmark96"/>
    </w:p>
    <w:p>
      <w:pPr>
        <w:pStyle w:val="3"/>
        <w:spacing w:after="120"/>
        <w:rPr>
          <w:snapToGrid/>
          <w:color w:val="auto"/>
        </w:rPr>
      </w:pPr>
      <w:r>
        <w:rPr>
          <w:snapToGrid/>
          <w:color w:val="auto"/>
        </w:rPr>
        <w:br w:type="page"/>
      </w:r>
    </w:p>
    <w:p>
      <w:pPr>
        <w:pStyle w:val="3"/>
        <w:spacing w:after="120" w:line="360" w:lineRule="auto"/>
        <w:rPr>
          <w:b/>
          <w:bCs/>
          <w:snapToGrid/>
          <w:color w:val="auto"/>
        </w:rPr>
      </w:pPr>
      <w:bookmarkStart w:id="132" w:name="_Toc30162"/>
      <w:r>
        <w:rPr>
          <w:b/>
          <w:bCs/>
          <w:snapToGrid/>
          <w:color w:val="auto"/>
        </w:rPr>
        <w:t>11对策措施与建议</w:t>
      </w:r>
      <w:bookmarkEnd w:id="131"/>
      <w:bookmarkEnd w:id="132"/>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133" w:name="bookmark98"/>
      <w:bookmarkStart w:id="134" w:name="bookmark99"/>
      <w:bookmarkStart w:id="135" w:name="bookmark97"/>
      <w:bookmarkStart w:id="136" w:name="_Toc10962"/>
      <w:r>
        <w:rPr>
          <w:rFonts w:ascii="楷体_GB2312" w:hAnsi="Times New Roman" w:eastAsia="楷体_GB2312" w:cs="Times New Roman"/>
          <w:b/>
          <w:bCs/>
          <w:color w:val="auto"/>
          <w:kern w:val="2"/>
          <w:sz w:val="32"/>
          <w:lang w:val="en-US" w:eastAsia="zh-CN" w:bidi="ar-SA"/>
        </w:rPr>
        <w:t>11.1存在的事故隐患及整改措施</w:t>
      </w:r>
      <w:bookmarkEnd w:id="133"/>
      <w:bookmarkEnd w:id="134"/>
      <w:bookmarkEnd w:id="135"/>
      <w:bookmarkEnd w:id="136"/>
    </w:p>
    <w:p>
      <w:pPr>
        <w:spacing w:line="360" w:lineRule="auto"/>
        <w:ind w:firstLine="425" w:firstLineChars="152"/>
        <w:rPr>
          <w:rFonts w:ascii="宋体" w:hAnsi="宋体" w:eastAsia="宋体"/>
          <w:color w:val="auto"/>
          <w:sz w:val="28"/>
          <w:szCs w:val="28"/>
        </w:rPr>
      </w:pPr>
      <w:r>
        <w:rPr>
          <w:rFonts w:ascii="宋体" w:hAnsi="宋体" w:eastAsia="宋体"/>
          <w:color w:val="auto"/>
          <w:sz w:val="28"/>
          <w:szCs w:val="28"/>
        </w:rPr>
        <w:t>根据国家有关安全生产法律法规、标准，以及该公司的具体情况，评价组经现场检查对存在的事故隐患，提出如下整改意见和安全对策措施。</w:t>
      </w:r>
    </w:p>
    <w:p>
      <w:pPr>
        <w:spacing w:line="550" w:lineRule="exact"/>
        <w:jc w:val="center"/>
        <w:rPr>
          <w:rFonts w:ascii="宋体" w:hAnsi="宋体" w:eastAsia="宋体"/>
          <w:b/>
          <w:color w:val="auto"/>
        </w:rPr>
      </w:pPr>
      <w:r>
        <w:rPr>
          <w:rFonts w:ascii="宋体" w:hAnsi="宋体" w:eastAsia="宋体"/>
          <w:b/>
          <w:color w:val="auto"/>
        </w:rPr>
        <w:t>表11-1整改意见</w:t>
      </w:r>
    </w:p>
    <w:tbl>
      <w:tblPr>
        <w:tblStyle w:val="46"/>
        <w:tblW w:w="91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657"/>
        <w:gridCol w:w="3932"/>
        <w:gridCol w:w="460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65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3932"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存在问题</w:t>
            </w:r>
          </w:p>
        </w:tc>
        <w:tc>
          <w:tcPr>
            <w:tcW w:w="4609"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安全对策措施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1</w:t>
            </w:r>
          </w:p>
        </w:tc>
        <w:tc>
          <w:tcPr>
            <w:tcW w:w="3932"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rPr>
            </w:pPr>
            <w:r>
              <w:rPr>
                <w:rFonts w:hint="eastAsia" w:ascii="宋体" w:hAnsi="宋体" w:eastAsia="宋体" w:cs="宋体"/>
                <w:color w:val="auto"/>
                <w:kern w:val="0"/>
                <w:sz w:val="21"/>
                <w:szCs w:val="21"/>
                <w:lang w:val="en-US" w:eastAsia="zh-CN"/>
              </w:rPr>
              <w:t>表面处理实验室安全出口无“安全出口”安全指示牌。</w:t>
            </w:r>
          </w:p>
        </w:tc>
        <w:tc>
          <w:tcPr>
            <w:tcW w:w="4609"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0"/>
                <w:sz w:val="21"/>
                <w:szCs w:val="21"/>
                <w:lang w:val="en-US" w:eastAsia="zh-CN"/>
              </w:rPr>
              <w:t>在安全出口处设置醒目的安全指示牌。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2</w:t>
            </w:r>
          </w:p>
        </w:tc>
        <w:tc>
          <w:tcPr>
            <w:tcW w:w="3932"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rPr>
            </w:pPr>
            <w:r>
              <w:rPr>
                <w:rFonts w:hint="eastAsia" w:ascii="宋体" w:hAnsi="宋体" w:eastAsia="宋体" w:cs="宋体"/>
                <w:color w:val="auto"/>
                <w:kern w:val="0"/>
                <w:sz w:val="21"/>
                <w:szCs w:val="21"/>
                <w:lang w:val="en-US" w:eastAsia="zh-CN"/>
              </w:rPr>
              <w:t>水基清洗剂车间存放有火灾危险性为甲类的丙醇。</w:t>
            </w:r>
          </w:p>
        </w:tc>
        <w:tc>
          <w:tcPr>
            <w:tcW w:w="4609"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rPr>
            </w:pPr>
            <w:r>
              <w:rPr>
                <w:rFonts w:hint="eastAsia" w:ascii="宋体" w:hAnsi="宋体" w:eastAsia="宋体" w:cs="宋体"/>
                <w:color w:val="auto"/>
                <w:kern w:val="0"/>
                <w:sz w:val="21"/>
                <w:szCs w:val="21"/>
                <w:lang w:val="en-US" w:eastAsia="zh-CN"/>
              </w:rPr>
              <w:t>将丙醇移走，存放在库房一(仓库A)。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3</w:t>
            </w:r>
          </w:p>
        </w:tc>
        <w:tc>
          <w:tcPr>
            <w:tcW w:w="3932"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rPr>
            </w:pPr>
            <w:r>
              <w:rPr>
                <w:rFonts w:hint="eastAsia" w:ascii="宋体" w:hAnsi="宋体" w:eastAsia="宋体" w:cs="宋体"/>
                <w:color w:val="auto"/>
                <w:kern w:val="0"/>
                <w:sz w:val="21"/>
                <w:szCs w:val="21"/>
                <w:lang w:val="en-US" w:eastAsia="zh-CN"/>
              </w:rPr>
              <w:t>成品仓、库房一(仓库A)可燃气体报警装置不足。</w:t>
            </w:r>
          </w:p>
        </w:tc>
        <w:tc>
          <w:tcPr>
            <w:tcW w:w="4609"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rPr>
            </w:pPr>
            <w:r>
              <w:rPr>
                <w:rFonts w:hint="eastAsia" w:ascii="宋体" w:hAnsi="宋体" w:eastAsia="宋体" w:cs="宋体"/>
                <w:color w:val="auto"/>
                <w:kern w:val="0"/>
                <w:sz w:val="21"/>
                <w:szCs w:val="21"/>
                <w:lang w:eastAsia="zh-CN"/>
              </w:rPr>
              <w:t>按照探测器服务半径为</w:t>
            </w:r>
            <w:r>
              <w:rPr>
                <w:rFonts w:hint="eastAsia" w:ascii="宋体" w:hAnsi="宋体" w:eastAsia="宋体" w:cs="宋体"/>
                <w:color w:val="auto"/>
                <w:kern w:val="0"/>
                <w:sz w:val="21"/>
                <w:szCs w:val="21"/>
                <w:lang w:val="en-US" w:eastAsia="zh-CN"/>
              </w:rPr>
              <w:t>5m的要求设置可燃气体探测器及报警装置，要求能覆盖所有易燃易爆危险化学品。</w:t>
            </w: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jc w:val="both"/>
        <w:textAlignment w:val="auto"/>
        <w:outlineLvl w:val="1"/>
        <w:rPr>
          <w:rFonts w:ascii="楷体_GB2312" w:hAnsi="Times New Roman" w:eastAsia="楷体_GB2312" w:cs="Times New Roman"/>
          <w:b/>
          <w:bCs w:val="0"/>
          <w:color w:val="auto"/>
          <w:kern w:val="2"/>
          <w:sz w:val="32"/>
          <w:lang w:val="en-US" w:eastAsia="zh-CN" w:bidi="ar-SA"/>
        </w:rPr>
      </w:pPr>
      <w:bookmarkStart w:id="137" w:name="bookmark100"/>
      <w:bookmarkStart w:id="138" w:name="_Toc471"/>
      <w:r>
        <w:rPr>
          <w:rFonts w:ascii="楷体_GB2312" w:hAnsi="Times New Roman" w:eastAsia="楷体_GB2312" w:cs="Times New Roman"/>
          <w:b/>
          <w:bCs w:val="0"/>
          <w:color w:val="auto"/>
          <w:kern w:val="2"/>
          <w:sz w:val="32"/>
          <w:lang w:val="en-US" w:eastAsia="zh-CN" w:bidi="ar-SA"/>
        </w:rPr>
        <w:t>11.2建议补充的安全对策措施</w:t>
      </w:r>
      <w:bookmarkEnd w:id="137"/>
      <w:bookmarkEnd w:id="138"/>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安全设施的更新与改进方面应采取的对策措施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就目前企业的安全设施水平来看，是国内通用的，随着科学技术的发展，会有更新、更先进的安全设施出现，也有落后的安全设施被淘汰，故企业的安全管理部门要随时注意这方面的动态，随时引进更新、更先进的安全设备设施，淘汰落后的安全设备设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安全条件和安全生产条件的完善和维护方面应采取的对策措施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现阶段该公司的安全条件能满足生产要求，但是，随着企业周边的发展，该公司所在区域周边可能会建设其它的工业建筑物，因此，要考虑以后新建项目可能对该公司的影响，所以，应该与政府相关部门保持良好的沟通，以保证未来该公司周边的单位生产、经营活动不会对该公司造成影响。</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对于技术、工艺装置、辅助设施方面，要努力提高其安全性能，如使用无毒的原料替代现有的有毒原料，提高工艺装置的本质安全性，采用机械化操作，尽量减少人员与有毒有害物品的接触机会、对老化的设备设施、淘汰的设备设施及时更新等。</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主要装置、设备、设施的维护与保养方面应采取以下对策措施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各种装置、设备设施要有专人负责维护保养，尤其是消防、防雷、防静电等安全设施要定期进行检测，使之保持完好、有效。</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在安全生产投入方面应采取的对策措施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企业应根据国家、当地政府的有关规定，建立安全投入保障制度，严格按照《企业安全生产费用提取和使用管理办法》(财企[2012]16号)第八条危险品生产企业安全费用的提取标准提取安全费用。并建立安全费用专用台帐，安全费用专项用于安全生产，不得挪作他用。</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企业的决策机构、主要负责人应该明确对安全生产所必需的资金投入不足而导致的后果负责。</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企业安全投入的重点应在防火、防爆、防中毒等安全设施以及人员的安全知识能力培训方面。</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在安全管理方面的对策措施：</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必须坚持“安全第一，预防为主、综合治理”的方针，全面加强安全管理，防止事故的发生，从而确保安全运行，实现安全，文明生产。</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加强安全教育培训工作，提高作业人员的职业素质以及安全意识。</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严格执行操作规程，杜绝违章行为。</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做好防火、防爆管理工作。</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严格执行动火作业审批管理制度和作业程序。</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严格执行用电安全管理规定，减少或避免电气事故的发生。</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严格执行机动车辆的管理，进入工作区的所有机动车辆必须戴好防火罩并按指定路线行驶并停放于指定位置。</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加强安全检查，包括节假日检查、日常检查、专项检查等，发现隐患，及时整改。</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公司要定期对应急预案进行演练，并根据应急预案的演练效果，不断改进和补充，以提高应急预案的实用性和可靠性。对应急预案实行动态管理，以不断适应人员的变动和环境的变化，确保其持续有效性。</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制定更加详细的“应急救援演练计划”，按《预案》内容定期组织演练，聘请相关专家现场观摩，分析查找《预案》演练中的不符合项和不足项，不断完善《预案》。</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强化应急救援人员的培训教育，定期聘请相关专家授课，不断提高应急救援人员的实际救援能力。</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做好应急资源的储备和维护保养工作，除已有的应急设备、器材外，应储备必要的应急药物，以备急需。</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④</w:t>
      </w:r>
      <w:r>
        <w:rPr>
          <w:rFonts w:ascii="宋体" w:hAnsi="宋体" w:eastAsia="宋体"/>
          <w:color w:val="auto"/>
          <w:sz w:val="28"/>
          <w:szCs w:val="28"/>
        </w:rPr>
        <w:t>与当地医疗机构签定《医疗救护协议》，制订事故状态下的“救护预案”，储备必要的救护器材与药品，确保救护工作正确、高效。</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⑤</w:t>
      </w:r>
      <w:r>
        <w:rPr>
          <w:rFonts w:ascii="宋体" w:hAnsi="宋体" w:eastAsia="宋体"/>
          <w:color w:val="auto"/>
          <w:sz w:val="28"/>
          <w:szCs w:val="28"/>
        </w:rPr>
        <w:t>与当地环保机构进行沟通，在其指导下制订事故状态下的“清消预案”，确保事故状态下监测、清消工作及时、准确、高效。</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⑥</w:t>
      </w:r>
      <w:r>
        <w:rPr>
          <w:rFonts w:ascii="宋体" w:hAnsi="宋体" w:eastAsia="宋体"/>
          <w:color w:val="auto"/>
          <w:sz w:val="28"/>
          <w:szCs w:val="28"/>
        </w:rPr>
        <w:t>根据发展情况，适时补充人员，充实应急救援队伍。</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⑦</w:t>
      </w:r>
      <w:r>
        <w:rPr>
          <w:rFonts w:hint="eastAsia" w:ascii="宋体" w:hAnsi="宋体" w:eastAsia="宋体"/>
          <w:color w:val="auto"/>
          <w:sz w:val="28"/>
          <w:szCs w:val="28"/>
          <w:lang w:eastAsia="zh-CN"/>
        </w:rPr>
        <w:t>与</w:t>
      </w:r>
      <w:r>
        <w:rPr>
          <w:rFonts w:ascii="宋体" w:hAnsi="宋体" w:eastAsia="宋体"/>
          <w:color w:val="auto"/>
          <w:sz w:val="28"/>
          <w:szCs w:val="28"/>
        </w:rPr>
        <w:t>当地政府部门沟通，将该公司所在地周围其它相关单位联合起来，组织跨企业的联合演习，以增强企业处理防止突发事件的能力。</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其它方面应采取的安全对策措施</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化工(危险化学品)企业保障生产安全十条规定：</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必</w:t>
      </w:r>
      <w:r>
        <w:rPr>
          <w:rFonts w:hint="eastAsia" w:ascii="宋体" w:hAnsi="宋体" w:eastAsia="宋体"/>
          <w:color w:val="auto"/>
          <w:sz w:val="28"/>
          <w:szCs w:val="28"/>
        </w:rPr>
        <w:t>须依法设立、证照齐全有效。</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必</w:t>
      </w:r>
      <w:r>
        <w:rPr>
          <w:rFonts w:hint="eastAsia" w:ascii="宋体" w:hAnsi="宋体" w:eastAsia="宋体"/>
          <w:color w:val="auto"/>
          <w:sz w:val="28"/>
          <w:szCs w:val="28"/>
        </w:rPr>
        <w:t>须建立健全并严格落实全员安全生产责任制，严格执行领导带班</w:t>
      </w:r>
      <w:r>
        <w:rPr>
          <w:rFonts w:ascii="宋体" w:hAnsi="宋体" w:eastAsia="宋体"/>
          <w:color w:val="auto"/>
          <w:sz w:val="28"/>
          <w:szCs w:val="28"/>
        </w:rPr>
        <w:t xml:space="preserve"> 值班制度。</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必</w:t>
      </w:r>
      <w:r>
        <w:rPr>
          <w:rFonts w:hint="eastAsia" w:ascii="宋体" w:hAnsi="宋体" w:eastAsia="宋体"/>
          <w:color w:val="auto"/>
          <w:sz w:val="28"/>
          <w:szCs w:val="28"/>
        </w:rPr>
        <w:t>须确保从业人员符合录用条件并培训合格，依法持证上岗。</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④</w:t>
      </w:r>
      <w:r>
        <w:rPr>
          <w:rFonts w:ascii="宋体" w:hAnsi="宋体" w:eastAsia="宋体"/>
          <w:color w:val="auto"/>
          <w:sz w:val="28"/>
          <w:szCs w:val="28"/>
        </w:rPr>
        <w:t>必</w:t>
      </w:r>
      <w:r>
        <w:rPr>
          <w:rFonts w:hint="eastAsia" w:ascii="宋体" w:hAnsi="宋体" w:eastAsia="宋体"/>
          <w:color w:val="auto"/>
          <w:sz w:val="28"/>
          <w:szCs w:val="28"/>
        </w:rPr>
        <w:t>须严格管控重大危险源，严格变更管理，遇险科学施救。</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⑤</w:t>
      </w:r>
      <w:r>
        <w:rPr>
          <w:rFonts w:ascii="宋体" w:hAnsi="宋体" w:eastAsia="宋体"/>
          <w:color w:val="auto"/>
          <w:sz w:val="28"/>
          <w:szCs w:val="28"/>
        </w:rPr>
        <w:t>必</w:t>
      </w:r>
      <w:r>
        <w:rPr>
          <w:rFonts w:hint="eastAsia" w:ascii="宋体" w:hAnsi="宋体" w:eastAsia="宋体"/>
          <w:color w:val="auto"/>
          <w:sz w:val="28"/>
          <w:szCs w:val="28"/>
        </w:rPr>
        <w:t>须按照《危险化学品企业事故隐患排查治理实施导则》要求排查</w:t>
      </w:r>
      <w:r>
        <w:rPr>
          <w:rFonts w:ascii="宋体" w:hAnsi="宋体" w:eastAsia="宋体"/>
          <w:color w:val="auto"/>
          <w:sz w:val="28"/>
          <w:szCs w:val="28"/>
        </w:rPr>
        <w:t>治理</w:t>
      </w:r>
      <w:r>
        <w:rPr>
          <w:rFonts w:hint="eastAsia" w:ascii="宋体" w:hAnsi="宋体" w:eastAsia="宋体"/>
          <w:color w:val="auto"/>
          <w:sz w:val="28"/>
          <w:szCs w:val="28"/>
        </w:rPr>
        <w:t>隐患。</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⑥严禁设备设施带病运行和未经审批停用报警联锁系统。</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⑦严禁可燃和有毒气体泄漏等报警系统处于非正常状态。</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⑧严禁未经审批进行动火、高处、吊装、临时用电、动土、检维修、盲板抽堵等作业。</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⑨严禁违章指挥和强令他人冒险作业。</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⑩严禁违章作业、脱岗和在岗做与工作无关的事。</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企业安全生产风险公告六条规定：</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必</w:t>
      </w:r>
      <w:r>
        <w:rPr>
          <w:rFonts w:hint="eastAsia" w:ascii="宋体" w:hAnsi="宋体" w:eastAsia="宋体"/>
          <w:color w:val="auto"/>
          <w:sz w:val="28"/>
          <w:szCs w:val="28"/>
        </w:rPr>
        <w:t>须在企业醒目位置设置公告栏，在存在安全生产风险的岗位设置</w:t>
      </w:r>
      <w:r>
        <w:rPr>
          <w:rFonts w:ascii="宋体" w:hAnsi="宋体" w:eastAsia="宋体"/>
          <w:color w:val="auto"/>
          <w:sz w:val="28"/>
          <w:szCs w:val="28"/>
        </w:rPr>
        <w:t xml:space="preserve"> 告知卡，分</w:t>
      </w:r>
      <w:r>
        <w:rPr>
          <w:rFonts w:hint="eastAsia" w:ascii="宋体" w:hAnsi="宋体" w:eastAsia="宋体"/>
          <w:color w:val="auto"/>
          <w:sz w:val="28"/>
          <w:szCs w:val="28"/>
        </w:rPr>
        <w:t>别标明本企业、本岗位主要危险危害因素、后果、事故预防及应急措施、报告电话等内容。</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必</w:t>
      </w:r>
      <w:r>
        <w:rPr>
          <w:rFonts w:hint="eastAsia" w:ascii="宋体" w:hAnsi="宋体" w:eastAsia="宋体"/>
          <w:color w:val="auto"/>
          <w:sz w:val="28"/>
          <w:szCs w:val="28"/>
        </w:rPr>
        <w:t>须在重大危险源、存在严重职业病危害的场所设置明显标志，标</w:t>
      </w:r>
      <w:r>
        <w:rPr>
          <w:rFonts w:ascii="宋体" w:hAnsi="宋体" w:eastAsia="宋体"/>
          <w:color w:val="auto"/>
          <w:sz w:val="28"/>
          <w:szCs w:val="28"/>
        </w:rPr>
        <w:t>明</w:t>
      </w:r>
      <w:r>
        <w:rPr>
          <w:rFonts w:hint="eastAsia" w:ascii="宋体" w:hAnsi="宋体" w:eastAsia="宋体"/>
          <w:color w:val="auto"/>
          <w:sz w:val="28"/>
          <w:szCs w:val="28"/>
        </w:rPr>
        <w:t>风险内容、危险程度、安全距离、防控办法、应急措施等内容。</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必</w:t>
      </w:r>
      <w:r>
        <w:rPr>
          <w:rFonts w:hint="eastAsia" w:ascii="宋体" w:hAnsi="宋体" w:eastAsia="宋体"/>
          <w:color w:val="auto"/>
          <w:sz w:val="28"/>
          <w:szCs w:val="28"/>
        </w:rPr>
        <w:t>须在有重大事故隐患和较大危险的场所和设施设备上设置明显标</w:t>
      </w:r>
      <w:r>
        <w:rPr>
          <w:rFonts w:ascii="宋体" w:hAnsi="宋体" w:eastAsia="宋体"/>
          <w:color w:val="auto"/>
          <w:sz w:val="28"/>
          <w:szCs w:val="28"/>
        </w:rPr>
        <w:t>志，</w:t>
      </w:r>
      <w:r>
        <w:rPr>
          <w:rFonts w:hint="eastAsia" w:ascii="宋体" w:hAnsi="宋体" w:eastAsia="宋体"/>
          <w:color w:val="auto"/>
          <w:sz w:val="28"/>
          <w:szCs w:val="28"/>
        </w:rPr>
        <w:t>标明治理责任、期限及应急措施。</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④</w:t>
      </w:r>
      <w:r>
        <w:rPr>
          <w:rFonts w:ascii="宋体" w:hAnsi="宋体" w:eastAsia="宋体"/>
          <w:color w:val="auto"/>
          <w:sz w:val="28"/>
          <w:szCs w:val="28"/>
        </w:rPr>
        <w:t>必</w:t>
      </w:r>
      <w:r>
        <w:rPr>
          <w:rFonts w:hint="eastAsia" w:ascii="宋体" w:hAnsi="宋体" w:eastAsia="宋体"/>
          <w:color w:val="auto"/>
          <w:sz w:val="28"/>
          <w:szCs w:val="28"/>
        </w:rPr>
        <w:t>须在工作岗位标明安全操作要点。</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⑤</w:t>
      </w:r>
      <w:r>
        <w:rPr>
          <w:rFonts w:ascii="宋体" w:hAnsi="宋体" w:eastAsia="宋体"/>
          <w:color w:val="auto"/>
          <w:sz w:val="28"/>
          <w:szCs w:val="28"/>
        </w:rPr>
        <w:t>必</w:t>
      </w:r>
      <w:r>
        <w:rPr>
          <w:rFonts w:hint="eastAsia" w:ascii="宋体" w:hAnsi="宋体" w:eastAsia="宋体"/>
          <w:color w:val="auto"/>
          <w:sz w:val="28"/>
          <w:szCs w:val="28"/>
        </w:rPr>
        <w:t>须及时向员工公开安全生产行政处罚决定、执行情况和整改结果。</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rPr>
        <w:t>⑥</w:t>
      </w:r>
      <w:r>
        <w:rPr>
          <w:rFonts w:ascii="宋体" w:hAnsi="宋体" w:eastAsia="宋体"/>
          <w:color w:val="auto"/>
          <w:sz w:val="28"/>
          <w:szCs w:val="28"/>
        </w:rPr>
        <w:t>必</w:t>
      </w:r>
      <w:r>
        <w:rPr>
          <w:rFonts w:hint="eastAsia" w:ascii="宋体" w:hAnsi="宋体" w:eastAsia="宋体"/>
          <w:color w:val="auto"/>
          <w:sz w:val="28"/>
          <w:szCs w:val="28"/>
        </w:rPr>
        <w:t>须及时更新安全生产风险公告内容，建立档案。</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39" w:name="bookmark102"/>
      <w:bookmarkStart w:id="140" w:name="_Toc25701"/>
      <w:r>
        <w:rPr>
          <w:rFonts w:ascii="楷体_GB2312" w:hAnsi="Times New Roman" w:eastAsia="楷体_GB2312" w:cs="Times New Roman"/>
          <w:b/>
          <w:bCs w:val="0"/>
          <w:color w:val="auto"/>
          <w:kern w:val="2"/>
          <w:sz w:val="32"/>
          <w:lang w:val="en-US" w:eastAsia="zh-CN" w:bidi="ar-SA"/>
        </w:rPr>
        <w:t>11.3整改意见复</w:t>
      </w:r>
      <w:bookmarkEnd w:id="139"/>
      <w:r>
        <w:rPr>
          <w:rFonts w:hint="eastAsia" w:ascii="楷体_GB2312" w:hAnsi="Times New Roman" w:eastAsia="楷体_GB2312" w:cs="Times New Roman"/>
          <w:b/>
          <w:bCs w:val="0"/>
          <w:color w:val="auto"/>
          <w:kern w:val="2"/>
          <w:sz w:val="32"/>
          <w:lang w:val="en-US" w:eastAsia="zh-CN" w:bidi="ar-SA"/>
        </w:rPr>
        <w:t>查</w:t>
      </w:r>
      <w:bookmarkEnd w:id="140"/>
    </w:p>
    <w:p>
      <w:pPr>
        <w:spacing w:line="550" w:lineRule="exact"/>
        <w:jc w:val="center"/>
        <w:rPr>
          <w:rFonts w:ascii="宋体" w:hAnsi="宋体" w:eastAsia="PMingLiU"/>
          <w:b/>
          <w:color w:val="auto"/>
        </w:rPr>
      </w:pPr>
      <w:r>
        <w:rPr>
          <w:rFonts w:ascii="宋体" w:hAnsi="宋体" w:eastAsia="宋体"/>
          <w:b/>
          <w:color w:val="auto"/>
        </w:rPr>
        <w:t>表11-2整改意见复查</w:t>
      </w:r>
    </w:p>
    <w:tbl>
      <w:tblPr>
        <w:tblStyle w:val="46"/>
        <w:tblW w:w="918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710"/>
        <w:gridCol w:w="3279"/>
        <w:gridCol w:w="3101"/>
        <w:gridCol w:w="1276"/>
        <w:gridCol w:w="81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710"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序号</w:t>
            </w:r>
          </w:p>
        </w:tc>
        <w:tc>
          <w:tcPr>
            <w:tcW w:w="3279"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存在问题</w:t>
            </w:r>
          </w:p>
        </w:tc>
        <w:tc>
          <w:tcPr>
            <w:tcW w:w="310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安全对策措施</w:t>
            </w:r>
          </w:p>
        </w:tc>
        <w:tc>
          <w:tcPr>
            <w:tcW w:w="1276"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复查结果</w:t>
            </w:r>
          </w:p>
        </w:tc>
        <w:tc>
          <w:tcPr>
            <w:tcW w:w="81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是否</w:t>
            </w:r>
          </w:p>
          <w:p>
            <w:pPr>
              <w:keepNext w:val="0"/>
              <w:keepLines w:val="0"/>
              <w:suppressLineNumbers w:val="0"/>
              <w:spacing w:before="0" w:beforeAutospacing="0" w:after="0" w:afterAutospacing="0" w:line="360" w:lineRule="exact"/>
              <w:ind w:left="0" w:right="0"/>
              <w:jc w:val="center"/>
              <w:rPr>
                <w:rFonts w:hint="default" w:ascii="宋体" w:hAnsi="宋体" w:eastAsia="宋体"/>
                <w:b/>
                <w:color w:val="auto"/>
                <w:kern w:val="2"/>
                <w:sz w:val="21"/>
                <w:szCs w:val="21"/>
              </w:rPr>
            </w:pPr>
            <w:r>
              <w:rPr>
                <w:rFonts w:hint="default" w:ascii="宋体" w:hAnsi="宋体" w:eastAsia="宋体"/>
                <w:b/>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楷体" w:hAnsi="楷体" w:eastAsia="楷体"/>
                <w:color w:val="auto"/>
                <w:kern w:val="2"/>
                <w:sz w:val="21"/>
                <w:szCs w:val="21"/>
              </w:rPr>
            </w:pPr>
            <w:r>
              <w:rPr>
                <w:rFonts w:hint="default" w:ascii="楷体" w:hAnsi="楷体" w:eastAsia="楷体"/>
                <w:color w:val="auto"/>
                <w:kern w:val="2"/>
                <w:sz w:val="21"/>
                <w:szCs w:val="21"/>
              </w:rPr>
              <w:t>1</w:t>
            </w:r>
          </w:p>
        </w:tc>
        <w:tc>
          <w:tcPr>
            <w:tcW w:w="3279"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0"/>
                <w:sz w:val="21"/>
                <w:szCs w:val="21"/>
                <w:lang w:val="en-US" w:eastAsia="zh-CN"/>
              </w:rPr>
              <w:t>表面处理实验室安全出口无“安全出口”安全指示牌。</w:t>
            </w:r>
          </w:p>
        </w:tc>
        <w:tc>
          <w:tcPr>
            <w:tcW w:w="3101"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0"/>
                <w:sz w:val="21"/>
                <w:szCs w:val="21"/>
                <w:lang w:val="en-US" w:eastAsia="zh-CN"/>
              </w:rPr>
              <w:t>在安全出口处设置醒目的安全指示牌。</w:t>
            </w:r>
          </w:p>
        </w:tc>
        <w:tc>
          <w:tcPr>
            <w:tcW w:w="1276"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己</w:t>
            </w:r>
            <w:r>
              <w:rPr>
                <w:rFonts w:hint="eastAsia" w:ascii="宋体" w:hAnsi="宋体" w:eastAsia="宋体" w:cs="宋体"/>
                <w:color w:val="auto"/>
                <w:kern w:val="2"/>
                <w:sz w:val="21"/>
                <w:szCs w:val="21"/>
                <w:lang w:eastAsia="zh-CN"/>
              </w:rPr>
              <w:t>完成</w:t>
            </w:r>
            <w:r>
              <w:rPr>
                <w:rFonts w:hint="eastAsia" w:ascii="宋体" w:hAnsi="宋体" w:eastAsia="宋体" w:cs="宋体"/>
                <w:color w:val="auto"/>
                <w:kern w:val="2"/>
                <w:sz w:val="21"/>
                <w:szCs w:val="21"/>
              </w:rPr>
              <w:t>整改</w:t>
            </w:r>
          </w:p>
        </w:tc>
        <w:tc>
          <w:tcPr>
            <w:tcW w:w="81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楷体" w:hAnsi="楷体" w:eastAsia="楷体"/>
                <w:color w:val="auto"/>
                <w:kern w:val="2"/>
                <w:sz w:val="21"/>
                <w:szCs w:val="21"/>
              </w:rPr>
            </w:pPr>
            <w:r>
              <w:rPr>
                <w:rFonts w:hint="default" w:ascii="楷体" w:hAnsi="楷体" w:eastAsia="楷体"/>
                <w:color w:val="auto"/>
                <w:kern w:val="2"/>
                <w:sz w:val="21"/>
                <w:szCs w:val="21"/>
              </w:rPr>
              <w:t>2</w:t>
            </w:r>
          </w:p>
        </w:tc>
        <w:tc>
          <w:tcPr>
            <w:tcW w:w="3279"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0"/>
                <w:sz w:val="21"/>
                <w:szCs w:val="21"/>
                <w:lang w:val="en-US" w:eastAsia="zh-CN"/>
              </w:rPr>
              <w:t>水基清洗剂车间存放有火灾危险性为甲类的丙醇。</w:t>
            </w:r>
          </w:p>
        </w:tc>
        <w:tc>
          <w:tcPr>
            <w:tcW w:w="3101"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0"/>
                <w:sz w:val="21"/>
                <w:szCs w:val="21"/>
                <w:lang w:val="en-US" w:eastAsia="zh-CN"/>
              </w:rPr>
              <w:t>将丙醇移走，存放在库房一(仓库A)。</w:t>
            </w:r>
          </w:p>
        </w:tc>
        <w:tc>
          <w:tcPr>
            <w:tcW w:w="1276"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己</w:t>
            </w:r>
            <w:r>
              <w:rPr>
                <w:rFonts w:hint="eastAsia" w:ascii="宋体" w:hAnsi="宋体" w:eastAsia="宋体" w:cs="宋体"/>
                <w:color w:val="auto"/>
                <w:kern w:val="2"/>
                <w:sz w:val="21"/>
                <w:szCs w:val="21"/>
                <w:lang w:eastAsia="zh-CN"/>
              </w:rPr>
              <w:t>完成</w:t>
            </w:r>
            <w:r>
              <w:rPr>
                <w:rFonts w:hint="eastAsia" w:ascii="宋体" w:hAnsi="宋体" w:eastAsia="宋体" w:cs="宋体"/>
                <w:color w:val="auto"/>
                <w:kern w:val="2"/>
                <w:sz w:val="21"/>
                <w:szCs w:val="21"/>
              </w:rPr>
              <w:t>整改</w:t>
            </w:r>
          </w:p>
        </w:tc>
        <w:tc>
          <w:tcPr>
            <w:tcW w:w="81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楷体" w:hAnsi="楷体" w:eastAsia="楷体"/>
                <w:color w:val="auto"/>
                <w:kern w:val="2"/>
                <w:sz w:val="21"/>
                <w:szCs w:val="21"/>
              </w:rPr>
            </w:pPr>
            <w:r>
              <w:rPr>
                <w:rFonts w:hint="default" w:ascii="楷体" w:hAnsi="楷体" w:eastAsia="楷体"/>
                <w:color w:val="auto"/>
                <w:kern w:val="2"/>
                <w:sz w:val="21"/>
                <w:szCs w:val="21"/>
              </w:rPr>
              <w:t>3</w:t>
            </w:r>
          </w:p>
        </w:tc>
        <w:tc>
          <w:tcPr>
            <w:tcW w:w="3279"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0"/>
                <w:sz w:val="21"/>
                <w:szCs w:val="21"/>
                <w:lang w:val="en-US" w:eastAsia="zh-CN"/>
              </w:rPr>
              <w:t>成品仓、库房一(仓库A)可燃气体报警装置不足。</w:t>
            </w:r>
          </w:p>
        </w:tc>
        <w:tc>
          <w:tcPr>
            <w:tcW w:w="3101" w:type="dxa"/>
            <w:shd w:val="clear" w:color="auto" w:fill="FFFFFF"/>
            <w:vAlign w:val="center"/>
          </w:tcPr>
          <w:p>
            <w:pPr>
              <w:keepNext w:val="0"/>
              <w:keepLines w:val="0"/>
              <w:suppressLineNumbers w:val="0"/>
              <w:spacing w:before="0" w:beforeAutospacing="0" w:after="0" w:afterAutospacing="0" w:line="360" w:lineRule="exact"/>
              <w:ind w:left="46" w:leftChars="19" w:right="31" w:rightChars="13" w:firstLine="46" w:firstLineChars="22"/>
              <w:jc w:val="both"/>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0"/>
                <w:sz w:val="21"/>
                <w:szCs w:val="21"/>
                <w:lang w:eastAsia="zh-CN"/>
              </w:rPr>
              <w:t>按照探测器服务半径为</w:t>
            </w:r>
            <w:r>
              <w:rPr>
                <w:rFonts w:hint="eastAsia" w:ascii="宋体" w:hAnsi="宋体" w:eastAsia="宋体" w:cs="宋体"/>
                <w:color w:val="auto"/>
                <w:kern w:val="0"/>
                <w:sz w:val="21"/>
                <w:szCs w:val="21"/>
                <w:lang w:val="en-US" w:eastAsia="zh-CN"/>
              </w:rPr>
              <w:t>5m的要求设置可燃气体探测器及报警装置，要求能覆盖所有易燃易爆危险化学品。</w:t>
            </w:r>
          </w:p>
        </w:tc>
        <w:tc>
          <w:tcPr>
            <w:tcW w:w="1276"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己</w:t>
            </w:r>
            <w:r>
              <w:rPr>
                <w:rFonts w:hint="eastAsia" w:ascii="宋体" w:hAnsi="宋体" w:eastAsia="宋体" w:cs="宋体"/>
                <w:color w:val="auto"/>
                <w:kern w:val="2"/>
                <w:sz w:val="21"/>
                <w:szCs w:val="21"/>
                <w:lang w:eastAsia="zh-CN"/>
              </w:rPr>
              <w:t>完成</w:t>
            </w:r>
            <w:r>
              <w:rPr>
                <w:rFonts w:hint="eastAsia" w:ascii="宋体" w:hAnsi="宋体" w:eastAsia="宋体" w:cs="宋体"/>
                <w:color w:val="auto"/>
                <w:kern w:val="2"/>
                <w:sz w:val="21"/>
                <w:szCs w:val="21"/>
              </w:rPr>
              <w:t>整改</w:t>
            </w:r>
          </w:p>
        </w:tc>
        <w:tc>
          <w:tcPr>
            <w:tcW w:w="815"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025" w:hRule="atLeast"/>
          <w:jc w:val="center"/>
        </w:trPr>
        <w:tc>
          <w:tcPr>
            <w:tcW w:w="3989" w:type="dxa"/>
            <w:gridSpan w:val="2"/>
            <w:shd w:val="clear" w:color="auto" w:fill="FFFFFF"/>
            <w:vAlign w:val="center"/>
          </w:tcPr>
          <w:p>
            <w:pPr>
              <w:keepNext w:val="0"/>
              <w:keepLines w:val="0"/>
              <w:suppressLineNumbers w:val="0"/>
              <w:spacing w:before="0" w:beforeAutospacing="0" w:after="0" w:afterAutospacing="0" w:line="360" w:lineRule="exact"/>
              <w:ind w:left="0" w:right="0"/>
              <w:jc w:val="both"/>
              <w:rPr>
                <w:rFonts w:hint="default" w:ascii="宋体" w:hAnsi="宋体" w:eastAsia="PMingLiU"/>
                <w:color w:val="auto"/>
                <w:kern w:val="2"/>
                <w:sz w:val="21"/>
                <w:szCs w:val="21"/>
              </w:rPr>
            </w:pPr>
            <w:r>
              <w:rPr>
                <w:rFonts w:hint="eastAsia" w:ascii="宋体" w:hAnsi="宋体" w:eastAsia="宋体"/>
                <w:color w:val="auto"/>
                <w:kern w:val="2"/>
                <w:sz w:val="21"/>
                <w:szCs w:val="21"/>
              </w:rPr>
              <w:t>被评价机构意见</w:t>
            </w:r>
            <w:r>
              <w:rPr>
                <w:rFonts w:hint="default" w:ascii="宋体" w:hAnsi="宋体" w:eastAsia="宋体"/>
                <w:color w:val="auto"/>
                <w:kern w:val="2"/>
                <w:sz w:val="21"/>
                <w:szCs w:val="21"/>
              </w:rPr>
              <w:t>(</w:t>
            </w:r>
            <w:r>
              <w:rPr>
                <w:rFonts w:hint="eastAsia" w:ascii="宋体" w:hAnsi="宋体" w:eastAsia="宋体"/>
                <w:color w:val="auto"/>
                <w:kern w:val="2"/>
                <w:sz w:val="21"/>
                <w:szCs w:val="21"/>
              </w:rPr>
              <w:t>盖章)</w:t>
            </w:r>
          </w:p>
          <w:p>
            <w:pPr>
              <w:keepNext w:val="0"/>
              <w:keepLines w:val="0"/>
              <w:suppressLineNumbers w:val="0"/>
              <w:spacing w:before="0" w:beforeAutospacing="0" w:after="0" w:afterAutospacing="0" w:line="360" w:lineRule="exact"/>
              <w:ind w:left="0" w:right="0" w:firstLine="1155" w:firstLineChars="550"/>
              <w:jc w:val="both"/>
              <w:rPr>
                <w:rFonts w:hint="default" w:ascii="宋体" w:hAnsi="宋体" w:eastAsia="PMingLiU"/>
                <w:color w:val="auto"/>
                <w:kern w:val="2"/>
                <w:sz w:val="21"/>
                <w:szCs w:val="21"/>
              </w:rPr>
            </w:pPr>
            <w:r>
              <w:rPr>
                <w:rFonts w:hint="eastAsia" w:ascii="宋体" w:hAnsi="宋体" w:eastAsia="宋体"/>
                <w:color w:val="auto"/>
                <w:kern w:val="2"/>
                <w:sz w:val="21"/>
                <w:szCs w:val="21"/>
              </w:rPr>
              <w:t>企业负责人签名：</w:t>
            </w:r>
          </w:p>
          <w:p>
            <w:pPr>
              <w:keepNext w:val="0"/>
              <w:keepLines w:val="0"/>
              <w:suppressLineNumbers w:val="0"/>
              <w:spacing w:before="0" w:beforeAutospacing="0" w:after="0" w:afterAutospacing="0" w:line="360" w:lineRule="exact"/>
              <w:ind w:left="0" w:right="0" w:firstLine="1155" w:firstLineChars="550"/>
              <w:jc w:val="both"/>
              <w:rPr>
                <w:rFonts w:hint="default" w:ascii="宋体" w:hAnsi="宋体" w:eastAsia="宋体"/>
                <w:color w:val="auto"/>
                <w:kern w:val="2"/>
                <w:sz w:val="21"/>
                <w:szCs w:val="21"/>
              </w:rPr>
            </w:pPr>
            <w:r>
              <w:rPr>
                <w:rFonts w:hint="default" w:ascii="宋体" w:hAnsi="宋体" w:eastAsia="宋体"/>
                <w:color w:val="auto"/>
                <w:kern w:val="2"/>
                <w:sz w:val="21"/>
                <w:szCs w:val="21"/>
              </w:rPr>
              <w:t>20</w:t>
            </w:r>
            <w:r>
              <w:rPr>
                <w:rFonts w:hint="eastAsia" w:ascii="宋体" w:hAnsi="宋体" w:eastAsia="宋体"/>
                <w:color w:val="auto"/>
                <w:kern w:val="2"/>
                <w:sz w:val="21"/>
                <w:szCs w:val="21"/>
                <w:lang w:eastAsia="zh-CN"/>
              </w:rPr>
              <w:t>2</w:t>
            </w:r>
            <w:r>
              <w:rPr>
                <w:rFonts w:hint="eastAsia" w:ascii="宋体" w:hAnsi="宋体" w:eastAsia="宋体"/>
                <w:color w:val="auto"/>
                <w:kern w:val="2"/>
                <w:sz w:val="21"/>
                <w:szCs w:val="21"/>
                <w:lang w:val="en-US" w:eastAsia="zh-CN"/>
              </w:rPr>
              <w:t>1</w:t>
            </w:r>
            <w:r>
              <w:rPr>
                <w:rFonts w:hint="default" w:ascii="宋体" w:hAnsi="宋体" w:eastAsia="宋体"/>
                <w:color w:val="auto"/>
                <w:kern w:val="2"/>
                <w:sz w:val="21"/>
                <w:szCs w:val="21"/>
              </w:rPr>
              <w:t>年</w:t>
            </w:r>
            <w:r>
              <w:rPr>
                <w:rFonts w:hint="eastAsia" w:ascii="宋体" w:hAnsi="宋体" w:eastAsia="宋体"/>
                <w:color w:val="auto"/>
                <w:kern w:val="2"/>
                <w:sz w:val="21"/>
                <w:szCs w:val="21"/>
                <w:lang w:eastAsia="zh-CN"/>
              </w:rPr>
              <w:t>04</w:t>
            </w:r>
            <w:r>
              <w:rPr>
                <w:rFonts w:hint="default" w:ascii="宋体" w:hAnsi="宋体" w:eastAsia="宋体"/>
                <w:color w:val="auto"/>
                <w:kern w:val="2"/>
                <w:sz w:val="21"/>
                <w:szCs w:val="21"/>
              </w:rPr>
              <w:t>月</w:t>
            </w:r>
            <w:r>
              <w:rPr>
                <w:rFonts w:hint="eastAsia" w:ascii="宋体" w:hAnsi="宋体" w:eastAsia="宋体"/>
                <w:color w:val="auto"/>
                <w:kern w:val="2"/>
                <w:sz w:val="21"/>
                <w:szCs w:val="21"/>
                <w:lang w:eastAsia="zh-CN"/>
              </w:rPr>
              <w:t>14</w:t>
            </w:r>
            <w:r>
              <w:rPr>
                <w:rFonts w:hint="default" w:ascii="宋体" w:hAnsi="宋体" w:eastAsia="宋体"/>
                <w:color w:val="auto"/>
                <w:kern w:val="2"/>
                <w:sz w:val="21"/>
                <w:szCs w:val="21"/>
              </w:rPr>
              <w:t>日</w:t>
            </w:r>
          </w:p>
        </w:tc>
        <w:tc>
          <w:tcPr>
            <w:tcW w:w="5192" w:type="dxa"/>
            <w:gridSpan w:val="3"/>
            <w:shd w:val="clear" w:color="auto" w:fill="FFFFFF"/>
            <w:vAlign w:val="center"/>
          </w:tcPr>
          <w:p>
            <w:pPr>
              <w:keepNext w:val="0"/>
              <w:keepLines w:val="0"/>
              <w:suppressLineNumbers w:val="0"/>
              <w:spacing w:before="0" w:beforeAutospacing="0" w:after="0" w:afterAutospacing="0" w:line="360" w:lineRule="exact"/>
              <w:ind w:left="0" w:right="0"/>
              <w:jc w:val="both"/>
              <w:rPr>
                <w:rFonts w:hint="default" w:ascii="宋体" w:hAnsi="宋体" w:eastAsia="PMingLiU"/>
                <w:color w:val="auto"/>
                <w:kern w:val="2"/>
                <w:sz w:val="21"/>
                <w:szCs w:val="21"/>
              </w:rPr>
            </w:pPr>
            <w:r>
              <w:rPr>
                <w:rFonts w:hint="default" w:ascii="宋体" w:hAnsi="宋体" w:eastAsia="宋体"/>
                <w:color w:val="auto"/>
                <w:kern w:val="2"/>
                <w:sz w:val="21"/>
                <w:szCs w:val="21"/>
              </w:rPr>
              <w:t>评价机构意见(盖章)</w:t>
            </w:r>
          </w:p>
          <w:p>
            <w:pPr>
              <w:keepNext w:val="0"/>
              <w:keepLines w:val="0"/>
              <w:suppressLineNumbers w:val="0"/>
              <w:spacing w:before="0" w:beforeAutospacing="0" w:after="0" w:afterAutospacing="0" w:line="360" w:lineRule="exact"/>
              <w:ind w:left="0" w:right="0" w:firstLine="1890" w:firstLineChars="900"/>
              <w:jc w:val="both"/>
              <w:rPr>
                <w:rFonts w:hint="default" w:ascii="宋体" w:hAnsi="宋体" w:eastAsia="PMingLiU"/>
                <w:color w:val="auto"/>
                <w:kern w:val="2"/>
                <w:sz w:val="21"/>
                <w:szCs w:val="21"/>
              </w:rPr>
            </w:pPr>
            <w:r>
              <w:rPr>
                <w:rFonts w:hint="default" w:ascii="宋体" w:hAnsi="宋体" w:eastAsia="宋体"/>
                <w:color w:val="auto"/>
                <w:kern w:val="2"/>
                <w:sz w:val="21"/>
                <w:szCs w:val="21"/>
              </w:rPr>
              <w:t>复查人员签名：</w:t>
            </w:r>
          </w:p>
          <w:p>
            <w:pPr>
              <w:keepNext w:val="0"/>
              <w:keepLines w:val="0"/>
              <w:suppressLineNumbers w:val="0"/>
              <w:spacing w:before="0" w:beforeAutospacing="0" w:after="0" w:afterAutospacing="0" w:line="360" w:lineRule="exact"/>
              <w:ind w:left="0" w:right="0" w:firstLine="1890" w:firstLineChars="900"/>
              <w:jc w:val="both"/>
              <w:rPr>
                <w:rFonts w:hint="default" w:ascii="宋体" w:hAnsi="宋体" w:eastAsia="宋体"/>
                <w:color w:val="auto"/>
                <w:kern w:val="2"/>
                <w:sz w:val="21"/>
                <w:szCs w:val="21"/>
              </w:rPr>
            </w:pPr>
            <w:r>
              <w:rPr>
                <w:rFonts w:hint="default" w:ascii="宋体" w:hAnsi="宋体" w:eastAsia="宋体"/>
                <w:color w:val="auto"/>
                <w:kern w:val="2"/>
                <w:sz w:val="21"/>
                <w:szCs w:val="21"/>
              </w:rPr>
              <w:t>20</w:t>
            </w:r>
            <w:r>
              <w:rPr>
                <w:rFonts w:hint="eastAsia" w:ascii="宋体" w:hAnsi="宋体" w:eastAsia="宋体"/>
                <w:color w:val="auto"/>
                <w:kern w:val="2"/>
                <w:sz w:val="21"/>
                <w:szCs w:val="21"/>
                <w:lang w:eastAsia="zh-CN"/>
              </w:rPr>
              <w:t>2</w:t>
            </w:r>
            <w:r>
              <w:rPr>
                <w:rFonts w:hint="eastAsia" w:ascii="宋体" w:hAnsi="宋体" w:eastAsia="宋体"/>
                <w:color w:val="auto"/>
                <w:kern w:val="2"/>
                <w:sz w:val="21"/>
                <w:szCs w:val="21"/>
                <w:lang w:val="en-US" w:eastAsia="zh-CN"/>
              </w:rPr>
              <w:t>1</w:t>
            </w:r>
            <w:r>
              <w:rPr>
                <w:rFonts w:hint="default" w:ascii="宋体" w:hAnsi="宋体" w:eastAsia="宋体"/>
                <w:color w:val="auto"/>
                <w:kern w:val="2"/>
                <w:sz w:val="21"/>
                <w:szCs w:val="21"/>
              </w:rPr>
              <w:t>年</w:t>
            </w:r>
            <w:r>
              <w:rPr>
                <w:rFonts w:hint="eastAsia" w:ascii="宋体" w:hAnsi="宋体" w:eastAsia="宋体"/>
                <w:color w:val="auto"/>
                <w:kern w:val="2"/>
                <w:sz w:val="21"/>
                <w:szCs w:val="21"/>
                <w:lang w:eastAsia="zh-CN"/>
              </w:rPr>
              <w:t>04</w:t>
            </w:r>
            <w:r>
              <w:rPr>
                <w:rFonts w:hint="default" w:ascii="宋体" w:hAnsi="宋体" w:eastAsia="宋体"/>
                <w:color w:val="auto"/>
                <w:kern w:val="2"/>
                <w:sz w:val="21"/>
                <w:szCs w:val="21"/>
              </w:rPr>
              <w:t>月</w:t>
            </w:r>
            <w:r>
              <w:rPr>
                <w:rFonts w:hint="eastAsia" w:ascii="宋体" w:hAnsi="宋体" w:eastAsia="宋体"/>
                <w:color w:val="auto"/>
                <w:kern w:val="2"/>
                <w:sz w:val="21"/>
                <w:szCs w:val="21"/>
                <w:lang w:eastAsia="zh-CN"/>
              </w:rPr>
              <w:t>14</w:t>
            </w:r>
            <w:r>
              <w:rPr>
                <w:rFonts w:hint="default" w:ascii="宋体" w:hAnsi="宋体" w:eastAsia="宋体"/>
                <w:color w:val="auto"/>
                <w:kern w:val="2"/>
                <w:sz w:val="21"/>
                <w:szCs w:val="21"/>
              </w:rPr>
              <w:t>日</w:t>
            </w:r>
          </w:p>
        </w:tc>
      </w:tr>
    </w:tbl>
    <w:p>
      <w:pPr>
        <w:spacing w:line="200" w:lineRule="exact"/>
        <w:ind w:firstLine="425" w:firstLineChars="152"/>
        <w:rPr>
          <w:rFonts w:ascii="宋体" w:hAnsi="宋体" w:eastAsia="宋体"/>
          <w:color w:val="auto"/>
          <w:sz w:val="28"/>
          <w:szCs w:val="28"/>
        </w:rPr>
      </w:pPr>
      <w:bookmarkStart w:id="141" w:name="bookmark105"/>
      <w:bookmarkStart w:id="142" w:name="bookmark103"/>
      <w:bookmarkStart w:id="143" w:name="bookmark104"/>
    </w:p>
    <w:p>
      <w:pPr>
        <w:pStyle w:val="3"/>
        <w:spacing w:after="120"/>
        <w:rPr>
          <w:rFonts w:hint="default" w:eastAsia="黑体"/>
          <w:snapToGrid/>
          <w:color w:val="auto"/>
          <w:lang w:val="en-US" w:eastAsia="zh-CN"/>
        </w:rPr>
      </w:pPr>
      <w:r>
        <w:rPr>
          <w:snapToGrid/>
          <w:color w:val="auto"/>
        </w:rPr>
        <w:br w:type="page"/>
      </w:r>
    </w:p>
    <w:p>
      <w:pPr>
        <w:pStyle w:val="3"/>
        <w:spacing w:after="120" w:line="360" w:lineRule="auto"/>
        <w:rPr>
          <w:b/>
          <w:bCs/>
          <w:snapToGrid/>
          <w:color w:val="auto"/>
        </w:rPr>
      </w:pPr>
      <w:bookmarkStart w:id="144" w:name="_Toc26841"/>
      <w:r>
        <w:rPr>
          <w:b/>
          <w:bCs/>
          <w:snapToGrid/>
          <w:color w:val="auto"/>
        </w:rPr>
        <w:t>12安全评价结论</w:t>
      </w:r>
      <w:bookmarkEnd w:id="144"/>
    </w:p>
    <w:p>
      <w:pPr>
        <w:spacing w:line="360" w:lineRule="auto"/>
        <w:jc w:val="both"/>
        <w:outlineLvl w:val="1"/>
        <w:rPr>
          <w:rFonts w:ascii="楷体_GB2312" w:hAnsi="Times New Roman" w:eastAsia="楷体_GB2312" w:cs="Times New Roman"/>
          <w:b/>
          <w:bCs/>
          <w:color w:val="auto"/>
          <w:kern w:val="2"/>
          <w:sz w:val="32"/>
          <w:lang w:val="en-US" w:eastAsia="zh-CN" w:bidi="ar-SA"/>
        </w:rPr>
      </w:pPr>
      <w:bookmarkStart w:id="145" w:name="_Toc28249"/>
      <w:r>
        <w:rPr>
          <w:rFonts w:ascii="楷体_GB2312" w:hAnsi="Times New Roman" w:eastAsia="楷体_GB2312" w:cs="Times New Roman"/>
          <w:b/>
          <w:bCs/>
          <w:color w:val="auto"/>
          <w:kern w:val="2"/>
          <w:sz w:val="32"/>
          <w:lang w:val="en-US" w:eastAsia="zh-CN" w:bidi="ar-SA"/>
        </w:rPr>
        <w:t>12.1归纳各部分危险分析结论</w:t>
      </w:r>
      <w:bookmarkEnd w:id="141"/>
      <w:bookmarkEnd w:id="142"/>
      <w:bookmarkEnd w:id="143"/>
      <w:bookmarkEnd w:id="145"/>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该公司生产过程中存在的危险、有害因素有：火灾爆炸、中毒</w:t>
      </w:r>
      <w:r>
        <w:rPr>
          <w:rFonts w:hint="eastAsia" w:ascii="宋体" w:hAnsi="宋体" w:eastAsia="宋体"/>
          <w:color w:val="auto"/>
          <w:sz w:val="28"/>
          <w:szCs w:val="28"/>
          <w:lang w:eastAsia="zh-CN"/>
        </w:rPr>
        <w:t>和</w:t>
      </w:r>
      <w:r>
        <w:rPr>
          <w:rFonts w:ascii="宋体" w:hAnsi="宋体" w:eastAsia="宋体"/>
          <w:color w:val="auto"/>
          <w:sz w:val="28"/>
          <w:szCs w:val="28"/>
        </w:rPr>
        <w:t>窒息、机械伤害、触电、车辆伤害、物体打击、灼烫等。其中，生产过程中所使用的易燃液体引起的火灾、爆炸和中毒</w:t>
      </w:r>
      <w:r>
        <w:rPr>
          <w:rFonts w:hint="eastAsia" w:ascii="宋体" w:hAnsi="宋体" w:eastAsia="宋体"/>
          <w:color w:val="auto"/>
          <w:sz w:val="28"/>
          <w:szCs w:val="28"/>
          <w:lang w:eastAsia="zh-CN"/>
        </w:rPr>
        <w:t>和</w:t>
      </w:r>
      <w:r>
        <w:rPr>
          <w:rFonts w:ascii="宋体" w:hAnsi="宋体" w:eastAsia="宋体"/>
          <w:color w:val="auto"/>
          <w:sz w:val="28"/>
          <w:szCs w:val="28"/>
        </w:rPr>
        <w:t>窒息危险是该公司最主要的危险、有害因素。企业针对存在的危险、有害因素，采取了相应的安全措施。</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通过编制安全检查表对企业现状进行分析，</w:t>
      </w:r>
      <w:r>
        <w:rPr>
          <w:rFonts w:hint="eastAsia" w:ascii="宋体" w:hAnsi="宋体" w:eastAsia="宋体"/>
          <w:color w:val="auto"/>
          <w:sz w:val="28"/>
          <w:szCs w:val="28"/>
          <w:lang w:eastAsia="zh-CN"/>
        </w:rPr>
        <w:t>发现</w:t>
      </w:r>
      <w:r>
        <w:rPr>
          <w:rFonts w:ascii="宋体" w:hAnsi="宋体" w:eastAsia="宋体"/>
          <w:color w:val="auto"/>
          <w:sz w:val="28"/>
          <w:szCs w:val="28"/>
        </w:rPr>
        <w:t>企业存在</w:t>
      </w:r>
      <w:r>
        <w:rPr>
          <w:rFonts w:hint="eastAsia" w:ascii="宋体" w:hAnsi="宋体" w:eastAsia="宋体"/>
          <w:color w:val="auto"/>
          <w:sz w:val="28"/>
          <w:szCs w:val="28"/>
          <w:lang w:eastAsia="zh-CN"/>
        </w:rPr>
        <w:t>不符合项</w:t>
      </w:r>
      <w:r>
        <w:rPr>
          <w:rFonts w:ascii="宋体" w:hAnsi="宋体" w:eastAsia="宋体"/>
          <w:color w:val="auto"/>
          <w:sz w:val="28"/>
          <w:szCs w:val="28"/>
        </w:rPr>
        <w:t>，</w:t>
      </w:r>
      <w:r>
        <w:rPr>
          <w:rFonts w:hint="eastAsia" w:ascii="宋体" w:hAnsi="宋体" w:eastAsia="宋体"/>
          <w:color w:val="auto"/>
          <w:sz w:val="28"/>
          <w:szCs w:val="28"/>
          <w:lang w:eastAsia="zh-CN"/>
        </w:rPr>
        <w:t>企业</w:t>
      </w:r>
      <w:r>
        <w:rPr>
          <w:rFonts w:ascii="宋体" w:hAnsi="宋体" w:eastAsia="宋体"/>
          <w:color w:val="auto"/>
          <w:sz w:val="28"/>
          <w:szCs w:val="28"/>
        </w:rPr>
        <w:t>对存在的不符合项</w:t>
      </w:r>
      <w:r>
        <w:rPr>
          <w:rFonts w:hint="eastAsia" w:ascii="宋体" w:hAnsi="宋体" w:eastAsia="宋体"/>
          <w:color w:val="auto"/>
          <w:sz w:val="28"/>
          <w:szCs w:val="28"/>
          <w:lang w:eastAsia="zh-CN"/>
        </w:rPr>
        <w:t>按整改建议要求完成</w:t>
      </w:r>
      <w:r>
        <w:rPr>
          <w:rFonts w:ascii="宋体" w:hAnsi="宋体" w:eastAsia="宋体"/>
          <w:color w:val="auto"/>
          <w:sz w:val="28"/>
          <w:szCs w:val="28"/>
        </w:rPr>
        <w:t>了整改</w:t>
      </w:r>
      <w:r>
        <w:rPr>
          <w:rFonts w:hint="eastAsia" w:ascii="宋体" w:hAnsi="宋体" w:eastAsia="宋体"/>
          <w:color w:val="auto"/>
          <w:sz w:val="28"/>
          <w:szCs w:val="28"/>
          <w:lang w:eastAsia="zh-CN"/>
        </w:rPr>
        <w:t>，整改后全部符合要求</w:t>
      </w:r>
      <w:r>
        <w:rPr>
          <w:rFonts w:ascii="宋体" w:hAnsi="宋体" w:eastAsia="宋体"/>
          <w:color w:val="auto"/>
          <w:sz w:val="28"/>
          <w:szCs w:val="28"/>
        </w:rPr>
        <w:t>。</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根据事故树分析，导致生产车间燃爆的因素虽然很多，但只要严格执行安全管理制度和安全操作规程，并采取相应技术措施，车间燃烧爆炸是可以预防的。</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通过道化法评价分析可知，在不考虑安全补偿措施的前提下，该公司</w:t>
      </w:r>
      <w:r>
        <w:rPr>
          <w:rFonts w:hint="eastAsia" w:ascii="宋体" w:hAnsi="宋体" w:eastAsia="宋体"/>
          <w:color w:val="auto"/>
          <w:sz w:val="28"/>
          <w:szCs w:val="28"/>
          <w:lang w:val="en-GB" w:eastAsia="zh-CN"/>
        </w:rPr>
        <w:t>库房一(仓库A)</w:t>
      </w:r>
      <w:r>
        <w:rPr>
          <w:rFonts w:hint="eastAsia" w:ascii="宋体" w:hAnsi="宋体" w:eastAsia="宋体"/>
          <w:color w:val="auto"/>
          <w:sz w:val="28"/>
          <w:szCs w:val="28"/>
          <w:lang w:val="en-GB"/>
        </w:rPr>
        <w:t>储存单元的火灾爆炸危险指数为122，火灾爆炸危险等级处于“中等”的程度，暴露半径为31.2m。经采取安全措施补偿后，</w:t>
      </w:r>
      <w:r>
        <w:rPr>
          <w:rFonts w:hint="eastAsia" w:ascii="宋体" w:hAnsi="宋体" w:eastAsia="宋体"/>
          <w:color w:val="auto"/>
          <w:sz w:val="28"/>
          <w:szCs w:val="28"/>
          <w:lang w:val="en-GB" w:eastAsia="zh-CN"/>
        </w:rPr>
        <w:t>库房一(仓库A)</w:t>
      </w:r>
      <w:r>
        <w:rPr>
          <w:rFonts w:hint="eastAsia" w:ascii="宋体" w:hAnsi="宋体" w:eastAsia="宋体"/>
          <w:color w:val="auto"/>
          <w:sz w:val="28"/>
          <w:szCs w:val="28"/>
          <w:lang w:val="en-GB"/>
        </w:rPr>
        <w:t>储存单元火灾爆炸危险指数为87，火灾爆炸危险等级为“较轻”程度，暴露半径22.3m。</w:t>
      </w:r>
      <w:r>
        <w:rPr>
          <w:rFonts w:ascii="宋体" w:hAnsi="宋体" w:eastAsia="宋体"/>
          <w:color w:val="auto"/>
          <w:sz w:val="28"/>
          <w:szCs w:val="28"/>
        </w:rPr>
        <w:t>其火灾爆炸危险指数明显降低</w:t>
      </w:r>
      <w:r>
        <w:rPr>
          <w:rFonts w:hint="eastAsia" w:ascii="宋体" w:hAnsi="宋体" w:eastAsia="宋体"/>
          <w:color w:val="auto"/>
          <w:sz w:val="28"/>
          <w:szCs w:val="28"/>
        </w:rPr>
        <w:t>，表明</w:t>
      </w:r>
      <w:r>
        <w:rPr>
          <w:rFonts w:ascii="宋体" w:hAnsi="宋体" w:eastAsia="宋体"/>
          <w:color w:val="auto"/>
          <w:sz w:val="28"/>
          <w:szCs w:val="28"/>
        </w:rPr>
        <w:t>评价单元采用安全措施是非常必要的，它可以有效的降低单元的火灾危险程度。</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通过辨识，该公司</w:t>
      </w:r>
      <w:r>
        <w:rPr>
          <w:rFonts w:hint="eastAsia" w:ascii="宋体" w:hAnsi="宋体" w:eastAsia="宋体"/>
          <w:color w:val="auto"/>
          <w:sz w:val="28"/>
          <w:szCs w:val="28"/>
          <w:lang w:eastAsia="zh-CN"/>
        </w:rPr>
        <w:t>危险化学品</w:t>
      </w:r>
      <w:r>
        <w:rPr>
          <w:rFonts w:ascii="宋体" w:hAnsi="宋体" w:eastAsia="宋体"/>
          <w:color w:val="auto"/>
          <w:sz w:val="28"/>
          <w:szCs w:val="28"/>
        </w:rPr>
        <w:t>不构成重大危险源。</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通过分析评价，该公司所生产的产品及生产工艺均不属于国家明令淘汰的、该公司也不涉及国家监控的化学品。</w:t>
      </w:r>
    </w:p>
    <w:p>
      <w:pPr>
        <w:spacing w:line="360" w:lineRule="auto"/>
        <w:ind w:firstLine="425" w:firstLineChars="152"/>
        <w:jc w:val="both"/>
        <w:rPr>
          <w:rFonts w:hint="eastAsia" w:ascii="宋体" w:hAnsi="宋体" w:eastAsia="宋体"/>
          <w:color w:val="auto"/>
          <w:sz w:val="28"/>
          <w:szCs w:val="28"/>
        </w:rPr>
      </w:pPr>
      <w:r>
        <w:rPr>
          <w:rFonts w:ascii="宋体" w:hAnsi="宋体" w:eastAsia="宋体"/>
          <w:color w:val="auto"/>
          <w:sz w:val="28"/>
          <w:szCs w:val="28"/>
        </w:rPr>
        <w:t>7</w:t>
      </w:r>
      <w:r>
        <w:rPr>
          <w:rFonts w:hint="eastAsia" w:ascii="宋体" w:hAnsi="宋体" w:eastAsia="宋体"/>
          <w:color w:val="auto"/>
          <w:sz w:val="28"/>
          <w:szCs w:val="28"/>
          <w:lang w:eastAsia="zh-CN"/>
        </w:rPr>
        <w:t>)</w:t>
      </w:r>
      <w:r>
        <w:rPr>
          <w:rFonts w:ascii="宋体" w:hAnsi="宋体" w:eastAsia="宋体"/>
          <w:color w:val="auto"/>
          <w:sz w:val="28"/>
          <w:szCs w:val="28"/>
        </w:rPr>
        <w:t>根据国家安全监管总局办公厅关于公布《首批重点监管的危险化学品名录》的通知(安监总管三〔2011〕95号)</w:t>
      </w:r>
      <w:r>
        <w:rPr>
          <w:rFonts w:hint="eastAsia" w:ascii="宋体" w:hAnsi="宋体" w:eastAsia="宋体"/>
          <w:color w:val="auto"/>
          <w:sz w:val="28"/>
          <w:szCs w:val="28"/>
          <w:lang w:eastAsia="zh-CN"/>
        </w:rPr>
        <w:t>辨识结果</w:t>
      </w:r>
      <w:r>
        <w:rPr>
          <w:rFonts w:ascii="宋体" w:hAnsi="宋体" w:eastAsia="宋体"/>
          <w:color w:val="auto"/>
          <w:sz w:val="28"/>
          <w:szCs w:val="28"/>
        </w:rPr>
        <w:t>，</w:t>
      </w:r>
      <w:r>
        <w:rPr>
          <w:rFonts w:hint="eastAsia" w:ascii="宋体" w:hAnsi="宋体" w:eastAsia="宋体"/>
          <w:color w:val="auto"/>
          <w:sz w:val="28"/>
          <w:szCs w:val="28"/>
        </w:rPr>
        <w:t>，该企业涉及的原料及产品均不属于重点监管的危险化学品。</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8</w:t>
      </w:r>
      <w:r>
        <w:rPr>
          <w:rFonts w:hint="eastAsia" w:ascii="宋体" w:hAnsi="宋体" w:eastAsia="宋体"/>
          <w:color w:val="auto"/>
          <w:sz w:val="28"/>
          <w:szCs w:val="28"/>
          <w:lang w:eastAsia="zh-CN"/>
        </w:rPr>
        <w:t>)</w:t>
      </w:r>
      <w:r>
        <w:rPr>
          <w:rFonts w:ascii="宋体" w:hAnsi="宋体" w:eastAsia="宋体"/>
          <w:color w:val="auto"/>
          <w:sz w:val="28"/>
          <w:szCs w:val="28"/>
          <w:lang w:eastAsia="zh-CN"/>
        </w:rPr>
        <w:t>依据《易制毒化学品管理条例》(中华人民共和国国务院令第445号)</w:t>
      </w:r>
      <w:r>
        <w:rPr>
          <w:rFonts w:hint="eastAsia" w:ascii="宋体" w:hAnsi="宋体" w:eastAsia="宋体"/>
          <w:color w:val="auto"/>
          <w:sz w:val="28"/>
          <w:szCs w:val="28"/>
          <w:lang w:eastAsia="zh-CN"/>
        </w:rPr>
        <w:t>辨识结果</w:t>
      </w:r>
      <w:r>
        <w:rPr>
          <w:rFonts w:ascii="宋体" w:hAnsi="宋体" w:eastAsia="宋体"/>
          <w:color w:val="auto"/>
          <w:sz w:val="28"/>
          <w:szCs w:val="28"/>
          <w:lang w:eastAsia="zh-CN"/>
        </w:rPr>
        <w:t>，该公司</w:t>
      </w:r>
      <w:r>
        <w:rPr>
          <w:rFonts w:hint="eastAsia" w:ascii="宋体" w:hAnsi="宋体" w:eastAsia="宋体"/>
          <w:color w:val="auto"/>
          <w:sz w:val="28"/>
          <w:szCs w:val="28"/>
          <w:lang w:eastAsia="zh-CN"/>
        </w:rPr>
        <w:t>使用的硫酸属于易制毒化学品；</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9）</w:t>
      </w:r>
      <w:r>
        <w:rPr>
          <w:rFonts w:ascii="宋体" w:hAnsi="宋体" w:eastAsia="宋体"/>
          <w:color w:val="auto"/>
          <w:sz w:val="28"/>
          <w:szCs w:val="28"/>
          <w:lang w:eastAsia="zh-CN"/>
        </w:rPr>
        <w:t>根据《易制爆危险化学品名录(201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年版)》</w:t>
      </w:r>
      <w:r>
        <w:rPr>
          <w:rFonts w:hint="eastAsia" w:ascii="宋体" w:hAnsi="宋体" w:eastAsia="宋体"/>
          <w:color w:val="auto"/>
          <w:sz w:val="28"/>
          <w:szCs w:val="28"/>
          <w:lang w:eastAsia="zh-CN"/>
        </w:rPr>
        <w:t>辨识结果</w:t>
      </w:r>
      <w:r>
        <w:rPr>
          <w:rFonts w:ascii="宋体" w:hAnsi="宋体" w:eastAsia="宋体"/>
          <w:color w:val="auto"/>
          <w:sz w:val="28"/>
          <w:szCs w:val="28"/>
          <w:lang w:eastAsia="zh-CN"/>
        </w:rPr>
        <w:t>，该公司的原料及产品</w:t>
      </w:r>
      <w:r>
        <w:rPr>
          <w:rFonts w:hint="eastAsia" w:ascii="宋体" w:hAnsi="宋体" w:eastAsia="宋体"/>
          <w:color w:val="auto"/>
          <w:sz w:val="28"/>
          <w:szCs w:val="28"/>
          <w:lang w:eastAsia="zh-CN"/>
        </w:rPr>
        <w:t>均不属于</w:t>
      </w:r>
      <w:r>
        <w:rPr>
          <w:rFonts w:ascii="宋体" w:hAnsi="宋体" w:eastAsia="宋体"/>
          <w:color w:val="auto"/>
          <w:sz w:val="28"/>
          <w:szCs w:val="28"/>
          <w:lang w:eastAsia="zh-CN"/>
        </w:rPr>
        <w:t>易制爆危险化学品。</w:t>
      </w:r>
    </w:p>
    <w:p>
      <w:pPr>
        <w:spacing w:line="360" w:lineRule="auto"/>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10）</w:t>
      </w:r>
      <w:r>
        <w:rPr>
          <w:rFonts w:ascii="宋体" w:hAnsi="宋体" w:eastAsia="宋体"/>
          <w:color w:val="auto"/>
          <w:sz w:val="28"/>
          <w:szCs w:val="28"/>
          <w:lang w:eastAsia="zh-CN"/>
        </w:rPr>
        <w:t>根据《危险化学品目录(2015版)》(安全监管总局、工业和信息化部、公安部等公告2015年第5号)</w:t>
      </w:r>
      <w:r>
        <w:rPr>
          <w:rFonts w:hint="eastAsia" w:ascii="宋体" w:hAnsi="宋体" w:eastAsia="宋体"/>
          <w:color w:val="auto"/>
          <w:sz w:val="28"/>
          <w:szCs w:val="28"/>
          <w:lang w:eastAsia="zh-CN"/>
        </w:rPr>
        <w:t>辨识结果</w:t>
      </w:r>
      <w:r>
        <w:rPr>
          <w:rFonts w:ascii="宋体" w:hAnsi="宋体" w:eastAsia="宋体"/>
          <w:color w:val="auto"/>
          <w:sz w:val="28"/>
          <w:szCs w:val="28"/>
          <w:lang w:eastAsia="zh-CN"/>
        </w:rPr>
        <w:t>，该公司的原料及产品中没有剧毒化学品。</w:t>
      </w:r>
    </w:p>
    <w:p>
      <w:pPr>
        <w:spacing w:line="360" w:lineRule="auto"/>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11)</w:t>
      </w:r>
      <w:r>
        <w:rPr>
          <w:rFonts w:ascii="宋体" w:hAnsi="宋体" w:eastAsia="宋体"/>
          <w:color w:val="auto"/>
          <w:sz w:val="28"/>
          <w:szCs w:val="28"/>
        </w:rPr>
        <w:t>针对现场检查中提出的整改建议，企业已经进行了积极整改，</w:t>
      </w:r>
      <w:r>
        <w:rPr>
          <w:rFonts w:hint="eastAsia" w:ascii="宋体" w:hAnsi="宋体" w:eastAsia="宋体"/>
          <w:color w:val="auto"/>
          <w:sz w:val="28"/>
          <w:szCs w:val="28"/>
          <w:lang w:eastAsia="zh-CN"/>
        </w:rPr>
        <w:t>经</w:t>
      </w:r>
      <w:r>
        <w:rPr>
          <w:rFonts w:ascii="宋体" w:hAnsi="宋体" w:eastAsia="宋体"/>
          <w:color w:val="auto"/>
          <w:sz w:val="28"/>
          <w:szCs w:val="28"/>
        </w:rPr>
        <w:t>复查</w:t>
      </w:r>
      <w:r>
        <w:rPr>
          <w:rFonts w:hint="eastAsia" w:ascii="宋体" w:hAnsi="宋体" w:eastAsia="宋体"/>
          <w:color w:val="auto"/>
          <w:sz w:val="28"/>
          <w:szCs w:val="28"/>
          <w:lang w:eastAsia="zh-CN"/>
        </w:rPr>
        <w:t>确认</w:t>
      </w:r>
      <w:r>
        <w:rPr>
          <w:rFonts w:ascii="宋体" w:hAnsi="宋体" w:eastAsia="宋体"/>
          <w:color w:val="auto"/>
          <w:sz w:val="28"/>
          <w:szCs w:val="28"/>
        </w:rPr>
        <w:t>，所提出的问题已经整改到位，经整改后，其安全生产条件满足安全生产的需要。</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2)</w:t>
      </w:r>
      <w:r>
        <w:rPr>
          <w:rFonts w:ascii="宋体" w:hAnsi="宋体" w:eastAsia="宋体"/>
          <w:color w:val="auto"/>
          <w:sz w:val="28"/>
          <w:szCs w:val="28"/>
        </w:rPr>
        <w:t>该公司自取得安全生产许可证以来，在执行法律法规及标准规范、日常安全管理、生产安全事故情况、人员教育培训、应急预案培训演练、生产范围、生产场所、生产装置、储存设施改变情况等多方面进行调查，现有安全管理能满足安全生产要求。没有发生任何安全事故及消防安全事故。</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3)</w:t>
      </w:r>
      <w:r>
        <w:rPr>
          <w:rFonts w:ascii="宋体" w:hAnsi="宋体" w:eastAsia="宋体"/>
          <w:color w:val="auto"/>
          <w:sz w:val="28"/>
          <w:szCs w:val="28"/>
        </w:rPr>
        <w:t>该公司通过设置事故池、制定应急预案、并组织演练等各种措施，评价组认为该公司在落实事故状态下清净下水的各项措施是科学的、有效的。</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4)</w:t>
      </w:r>
      <w:r>
        <w:rPr>
          <w:rFonts w:ascii="宋体" w:hAnsi="宋体" w:eastAsia="宋体"/>
          <w:color w:val="auto"/>
          <w:sz w:val="28"/>
          <w:szCs w:val="28"/>
        </w:rPr>
        <w:t>根据《危险化学品生产企业安全生产许可证审查书》(国家安全生产监督管理局“安监管危化字”[2004]110号)、《危险化学品生产企业安全生产许可证实施办法》，对该公司安全生产许可条件进行逐项检查，对不符合项整改</w:t>
      </w:r>
      <w:r>
        <w:rPr>
          <w:rFonts w:hint="eastAsia" w:ascii="宋体" w:hAnsi="宋体" w:eastAsia="宋体"/>
          <w:color w:val="auto"/>
          <w:sz w:val="28"/>
          <w:szCs w:val="28"/>
          <w:lang w:eastAsia="zh-CN"/>
        </w:rPr>
        <w:t>已符合要求</w:t>
      </w:r>
      <w:r>
        <w:rPr>
          <w:rFonts w:ascii="宋体" w:hAnsi="宋体" w:eastAsia="宋体"/>
          <w:color w:val="auto"/>
          <w:sz w:val="28"/>
          <w:szCs w:val="28"/>
        </w:rPr>
        <w:t>，该公司安全生产条件符合规定的要求。</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5)</w:t>
      </w:r>
      <w:r>
        <w:rPr>
          <w:rFonts w:ascii="宋体" w:hAnsi="宋体" w:eastAsia="宋体"/>
          <w:color w:val="auto"/>
          <w:sz w:val="28"/>
          <w:szCs w:val="28"/>
        </w:rPr>
        <w:t>该公司按照《生产经营单位生产安全事故应急预案编制导则》(GB/T29639-20</w:t>
      </w:r>
      <w:r>
        <w:rPr>
          <w:rFonts w:hint="eastAsia" w:ascii="宋体" w:hAnsi="宋体" w:eastAsia="宋体"/>
          <w:color w:val="auto"/>
          <w:sz w:val="28"/>
          <w:szCs w:val="28"/>
          <w:lang w:val="en-US" w:eastAsia="zh-CN"/>
        </w:rPr>
        <w:t>20</w:t>
      </w:r>
      <w:r>
        <w:rPr>
          <w:rFonts w:ascii="宋体" w:hAnsi="宋体" w:eastAsia="宋体"/>
          <w:color w:val="auto"/>
          <w:sz w:val="28"/>
          <w:szCs w:val="28"/>
        </w:rPr>
        <w:t>)编制了事故应急救援预案，并通过专家评审，取得了预案备案登记表。</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6)</w:t>
      </w:r>
      <w:r>
        <w:rPr>
          <w:rFonts w:ascii="宋体" w:hAnsi="宋体" w:eastAsia="宋体"/>
          <w:color w:val="auto"/>
          <w:sz w:val="28"/>
          <w:szCs w:val="28"/>
        </w:rPr>
        <w:t>该公司主要负责人、安全管理人员、特种作业人员、一般从业人员均满足国家、省市安监部门的要求。</w:t>
      </w:r>
    </w:p>
    <w:p>
      <w:pPr>
        <w:spacing w:line="360" w:lineRule="auto"/>
        <w:ind w:firstLine="425" w:firstLineChars="152"/>
        <w:jc w:val="both"/>
        <w:rPr>
          <w:rFonts w:ascii="宋体" w:hAnsi="宋体" w:eastAsia="宋体"/>
          <w:color w:val="auto"/>
          <w:sz w:val="28"/>
          <w:szCs w:val="28"/>
        </w:rPr>
      </w:pPr>
      <w:bookmarkStart w:id="146" w:name="bookmark106"/>
      <w:r>
        <w:rPr>
          <w:rFonts w:ascii="宋体" w:hAnsi="宋体" w:eastAsia="宋体"/>
          <w:color w:val="auto"/>
          <w:sz w:val="28"/>
          <w:szCs w:val="28"/>
        </w:rPr>
        <w:t>1</w:t>
      </w:r>
      <w:r>
        <w:rPr>
          <w:rFonts w:hint="eastAsia" w:ascii="宋体" w:hAnsi="宋体" w:eastAsia="宋体"/>
          <w:color w:val="auto"/>
          <w:sz w:val="28"/>
          <w:szCs w:val="28"/>
          <w:lang w:eastAsia="zh-CN"/>
        </w:rPr>
        <w:t>7)</w:t>
      </w:r>
      <w:r>
        <w:rPr>
          <w:rFonts w:ascii="宋体" w:hAnsi="宋体" w:eastAsia="宋体"/>
          <w:color w:val="auto"/>
          <w:sz w:val="28"/>
          <w:szCs w:val="28"/>
        </w:rPr>
        <w:t>该公司消防工程、防雷、防静电、电气安全、可燃气体报警装置等安全设施、设备符合国家法律法规、标准规范要求，处于正常使用状态</w:t>
      </w:r>
      <w:bookmarkEnd w:id="146"/>
      <w:r>
        <w:rPr>
          <w:rFonts w:hint="eastAsia" w:ascii="宋体" w:hAnsi="宋体" w:eastAsia="宋体"/>
          <w:color w:val="auto"/>
          <w:sz w:val="28"/>
          <w:szCs w:val="28"/>
          <w:lang w:eastAsia="zh-CN"/>
        </w:rPr>
        <w:t>。</w:t>
      </w:r>
    </w:p>
    <w:p>
      <w:pPr>
        <w:spacing w:line="360" w:lineRule="auto"/>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1</w:t>
      </w:r>
      <w:r>
        <w:rPr>
          <w:rFonts w:hint="eastAsia" w:ascii="宋体" w:hAnsi="宋体" w:eastAsia="宋体"/>
          <w:color w:val="auto"/>
          <w:sz w:val="28"/>
          <w:szCs w:val="28"/>
          <w:lang w:eastAsia="zh-CN"/>
        </w:rPr>
        <w:t>8)</w:t>
      </w:r>
      <w:r>
        <w:rPr>
          <w:rFonts w:ascii="宋体" w:hAnsi="宋体" w:eastAsia="宋体"/>
          <w:color w:val="auto"/>
          <w:sz w:val="28"/>
          <w:szCs w:val="28"/>
        </w:rPr>
        <w:t>通过安全评价可知，周边各建(构)筑物与厂区内建(构)筑物的防火间距符合</w:t>
      </w:r>
      <w:r>
        <w:rPr>
          <w:rFonts w:hint="eastAsia" w:ascii="宋体" w:hAnsi="宋体" w:eastAsia="宋体"/>
          <w:color w:val="auto"/>
          <w:sz w:val="28"/>
          <w:szCs w:val="28"/>
          <w:lang w:eastAsia="zh-CN"/>
        </w:rPr>
        <w:t>《建筑设计防火规范（2018年版）》（GB50016-2014）和《公路安全保护条例》（国务院令第</w:t>
      </w:r>
      <w:r>
        <w:rPr>
          <w:rFonts w:hint="eastAsia" w:ascii="宋体" w:hAnsi="宋体" w:eastAsia="宋体"/>
          <w:color w:val="auto"/>
          <w:sz w:val="28"/>
          <w:szCs w:val="28"/>
          <w:lang w:val="en-US" w:eastAsia="zh-CN"/>
        </w:rPr>
        <w:t>593号</w:t>
      </w:r>
      <w:r>
        <w:rPr>
          <w:rFonts w:hint="eastAsia" w:ascii="宋体" w:hAnsi="宋体" w:eastAsia="宋体"/>
          <w:color w:val="auto"/>
          <w:sz w:val="28"/>
          <w:szCs w:val="28"/>
          <w:lang w:eastAsia="zh-CN"/>
        </w:rPr>
        <w:t>）</w:t>
      </w:r>
      <w:r>
        <w:rPr>
          <w:rFonts w:ascii="宋体" w:hAnsi="宋体" w:eastAsia="宋体"/>
          <w:color w:val="auto"/>
          <w:sz w:val="28"/>
          <w:szCs w:val="28"/>
        </w:rPr>
        <w:t>的规定，卫生防护距离</w:t>
      </w:r>
      <w:r>
        <w:rPr>
          <w:rFonts w:hint="eastAsia" w:ascii="宋体" w:hAnsi="宋体" w:eastAsia="宋体"/>
          <w:color w:val="auto"/>
          <w:sz w:val="28"/>
          <w:szCs w:val="28"/>
          <w:lang w:eastAsia="zh-CN"/>
        </w:rPr>
        <w:t>符合</w:t>
      </w:r>
      <w:r>
        <w:rPr>
          <w:rFonts w:ascii="宋体" w:hAnsi="宋体" w:eastAsia="宋体"/>
          <w:color w:val="auto"/>
          <w:sz w:val="28"/>
          <w:szCs w:val="28"/>
        </w:rPr>
        <w:t>《油漆厂卫生防护距离标准》(GB18070-2000)的要求。</w:t>
      </w:r>
    </w:p>
    <w:p>
      <w:pPr>
        <w:pStyle w:val="20"/>
        <w:spacing w:line="360" w:lineRule="auto"/>
        <w:ind w:firstLine="560" w:firstLineChars="200"/>
        <w:jc w:val="both"/>
        <w:rPr>
          <w:rFonts w:cs="宋体"/>
          <w:color w:val="auto"/>
          <w:szCs w:val="28"/>
        </w:rPr>
      </w:pPr>
      <w:r>
        <w:rPr>
          <w:rFonts w:hint="eastAsia"/>
          <w:color w:val="auto"/>
          <w:szCs w:val="28"/>
          <w:lang w:eastAsia="zh-CN"/>
        </w:rPr>
        <w:t>19）</w:t>
      </w:r>
      <w:r>
        <w:rPr>
          <w:rFonts w:hint="eastAsia" w:cs="宋体"/>
          <w:color w:val="auto"/>
          <w:szCs w:val="28"/>
        </w:rPr>
        <w:t>通过《化工和危险化学品生产经营单位重大生产安全事故隐患判定标准（试行）》（安监总管三[2017]121号）内容逐项检查，该公司不存在《化工和危险化学品生产经营单位重大生产安全事故隐患判定标准（试行 ）》规定的重大生产安全事故隐患。</w:t>
      </w:r>
    </w:p>
    <w:p>
      <w:pPr>
        <w:pStyle w:val="20"/>
        <w:spacing w:line="360" w:lineRule="auto"/>
        <w:ind w:firstLine="560" w:firstLineChars="200"/>
        <w:jc w:val="both"/>
        <w:rPr>
          <w:rFonts w:cs="宋体"/>
          <w:color w:val="auto"/>
          <w:szCs w:val="28"/>
        </w:rPr>
      </w:pPr>
      <w:r>
        <w:rPr>
          <w:rFonts w:hint="eastAsia" w:cs="宋体"/>
          <w:color w:val="auto"/>
          <w:szCs w:val="28"/>
          <w:lang w:eastAsia="zh-CN"/>
        </w:rPr>
        <w:t>20</w:t>
      </w:r>
      <w:r>
        <w:rPr>
          <w:rFonts w:hint="eastAsia" w:cs="宋体"/>
          <w:color w:val="auto"/>
          <w:szCs w:val="28"/>
        </w:rPr>
        <w:t>）</w:t>
      </w:r>
      <w:r>
        <w:rPr>
          <w:rFonts w:hint="eastAsia"/>
          <w:color w:val="auto"/>
          <w:szCs w:val="28"/>
        </w:rPr>
        <w:t>根据应急管理部关于印发危险化学品生产储存企业安全风险评估诊断分级指南（试行）的通知（应急[2018]19号）的内容进行检查分析，该公司的安全风险分级为蓝色。</w:t>
      </w:r>
    </w:p>
    <w:p>
      <w:pPr>
        <w:pStyle w:val="20"/>
        <w:spacing w:line="360" w:lineRule="auto"/>
        <w:ind w:firstLine="560" w:firstLineChars="200"/>
        <w:jc w:val="both"/>
        <w:rPr>
          <w:rFonts w:cs="宋体"/>
          <w:color w:val="auto"/>
          <w:szCs w:val="28"/>
        </w:rPr>
      </w:pPr>
      <w:r>
        <w:rPr>
          <w:rFonts w:hint="eastAsia" w:cs="宋体"/>
          <w:color w:val="auto"/>
          <w:lang w:eastAsia="zh-CN"/>
        </w:rPr>
        <w:t>21</w:t>
      </w:r>
      <w:r>
        <w:rPr>
          <w:rFonts w:hint="eastAsia" w:cs="宋体"/>
          <w:color w:val="auto"/>
        </w:rPr>
        <w:t>）</w:t>
      </w:r>
      <w:r>
        <w:rPr>
          <w:rFonts w:hint="eastAsia" w:cs="宋体"/>
          <w:color w:val="auto"/>
          <w:szCs w:val="28"/>
        </w:rPr>
        <w:t>通过危险度评价法分析评价，该公司</w:t>
      </w:r>
      <w:r>
        <w:rPr>
          <w:rFonts w:hint="eastAsia"/>
          <w:color w:val="auto"/>
          <w:sz w:val="28"/>
          <w:szCs w:val="28"/>
          <w:lang w:eastAsia="zh-CN"/>
        </w:rPr>
        <w:t>厂房四（厂房C）</w:t>
      </w:r>
      <w:r>
        <w:rPr>
          <w:rFonts w:hint="eastAsia" w:cs="宋体"/>
          <w:color w:val="auto"/>
          <w:szCs w:val="28"/>
        </w:rPr>
        <w:t>、</w:t>
      </w:r>
      <w:r>
        <w:rPr>
          <w:rFonts w:hint="eastAsia" w:cs="宋体"/>
          <w:color w:val="auto"/>
          <w:szCs w:val="28"/>
          <w:lang w:eastAsia="zh-CN"/>
        </w:rPr>
        <w:t>库房一(仓库A)</w:t>
      </w:r>
      <w:r>
        <w:rPr>
          <w:rFonts w:hint="eastAsia" w:cs="宋体"/>
          <w:color w:val="auto"/>
          <w:szCs w:val="28"/>
        </w:rPr>
        <w:t>的危险等级均为黄色，危险程度为中度危险。</w:t>
      </w:r>
    </w:p>
    <w:p>
      <w:pPr>
        <w:spacing w:line="360" w:lineRule="auto"/>
        <w:jc w:val="both"/>
        <w:outlineLvl w:val="1"/>
        <w:rPr>
          <w:rFonts w:ascii="楷体_GB2312" w:hAnsi="Times New Roman" w:eastAsia="楷体_GB2312" w:cs="Times New Roman"/>
          <w:b/>
          <w:bCs w:val="0"/>
          <w:color w:val="auto"/>
          <w:kern w:val="2"/>
          <w:sz w:val="32"/>
          <w:lang w:val="en-US" w:eastAsia="zh-CN" w:bidi="ar-SA"/>
        </w:rPr>
      </w:pPr>
      <w:bookmarkStart w:id="147" w:name="_Toc8117"/>
      <w:bookmarkStart w:id="148" w:name="bookmark107"/>
      <w:r>
        <w:rPr>
          <w:rFonts w:ascii="楷体_GB2312" w:hAnsi="Times New Roman" w:eastAsia="楷体_GB2312" w:cs="Times New Roman"/>
          <w:b/>
          <w:bCs w:val="0"/>
          <w:color w:val="auto"/>
          <w:kern w:val="2"/>
          <w:sz w:val="32"/>
          <w:lang w:val="en-US" w:eastAsia="zh-CN" w:bidi="ar-SA"/>
        </w:rPr>
        <w:t>12.2安全评价结论</w:t>
      </w:r>
      <w:bookmarkEnd w:id="147"/>
      <w:bookmarkEnd w:id="148"/>
    </w:p>
    <w:p>
      <w:pPr>
        <w:spacing w:line="360" w:lineRule="auto"/>
        <w:ind w:firstLine="427" w:firstLineChars="152"/>
        <w:rPr>
          <w:rFonts w:ascii="宋体" w:hAnsi="宋体" w:eastAsia="PMingLiU"/>
          <w:color w:val="auto"/>
          <w:sz w:val="28"/>
          <w:szCs w:val="28"/>
        </w:rPr>
      </w:pPr>
      <w:r>
        <w:rPr>
          <w:rFonts w:ascii="宋体" w:hAnsi="宋体" w:eastAsia="宋体"/>
          <w:b/>
          <w:color w:val="auto"/>
          <w:sz w:val="28"/>
          <w:szCs w:val="28"/>
        </w:rPr>
        <w:t>综上所述，</w:t>
      </w:r>
      <w:r>
        <w:rPr>
          <w:rFonts w:hint="eastAsia" w:ascii="宋体" w:hAnsi="宋体" w:eastAsia="宋体"/>
          <w:b/>
          <w:color w:val="auto"/>
          <w:sz w:val="28"/>
          <w:szCs w:val="28"/>
          <w:lang w:eastAsia="zh-CN"/>
        </w:rPr>
        <w:t>东莞优诺电子焊接材料有限公司</w:t>
      </w:r>
      <w:r>
        <w:rPr>
          <w:rFonts w:ascii="宋体" w:hAnsi="宋体" w:eastAsia="宋体"/>
          <w:b/>
          <w:color w:val="auto"/>
          <w:sz w:val="28"/>
          <w:szCs w:val="28"/>
        </w:rPr>
        <w:t>危险化学品</w:t>
      </w:r>
      <w:r>
        <w:rPr>
          <w:rFonts w:hint="eastAsia" w:ascii="宋体" w:hAnsi="宋体" w:eastAsia="宋体"/>
          <w:b/>
          <w:color w:val="auto"/>
          <w:sz w:val="28"/>
          <w:szCs w:val="28"/>
          <w:lang w:eastAsia="zh-CN"/>
        </w:rPr>
        <w:t>生产符合《中华人民共和国安全生产法》、《危险化学品安全管理条例》、《危险化学品生产企业安全生产许可证实施办法》、《建筑设计防火规范》等有关法律、法规、标准、规范的要求，符合申请安全生产许可证换证的条件。</w:t>
      </w:r>
      <w:bookmarkStart w:id="149" w:name="bookmark108"/>
      <w:bookmarkStart w:id="150" w:name="bookmark109"/>
      <w:bookmarkStart w:id="151" w:name="bookmark110"/>
    </w:p>
    <w:p>
      <w:pPr>
        <w:pStyle w:val="3"/>
        <w:spacing w:after="120"/>
        <w:rPr>
          <w:snapToGrid/>
          <w:color w:val="auto"/>
        </w:rPr>
      </w:pPr>
      <w:r>
        <w:rPr>
          <w:snapToGrid/>
          <w:color w:val="auto"/>
        </w:rPr>
        <w:br w:type="page"/>
      </w:r>
    </w:p>
    <w:p>
      <w:pPr>
        <w:pStyle w:val="3"/>
        <w:spacing w:after="120" w:line="360" w:lineRule="auto"/>
        <w:rPr>
          <w:b/>
          <w:bCs/>
          <w:snapToGrid/>
          <w:color w:val="auto"/>
        </w:rPr>
      </w:pPr>
      <w:bookmarkStart w:id="152" w:name="_Toc5819"/>
      <w:r>
        <w:rPr>
          <w:b/>
          <w:bCs/>
          <w:snapToGrid/>
          <w:color w:val="auto"/>
        </w:rPr>
        <w:t>安全评价报告附件</w:t>
      </w:r>
      <w:bookmarkEnd w:id="152"/>
    </w:p>
    <w:p>
      <w:pPr>
        <w:pStyle w:val="3"/>
        <w:spacing w:after="120" w:line="360" w:lineRule="auto"/>
        <w:rPr>
          <w:b/>
          <w:bCs/>
          <w:snapToGrid/>
          <w:color w:val="auto"/>
        </w:rPr>
      </w:pPr>
      <w:bookmarkStart w:id="153" w:name="_Toc24136"/>
      <w:r>
        <w:rPr>
          <w:b/>
          <w:bCs/>
          <w:snapToGrid/>
          <w:color w:val="auto"/>
        </w:rPr>
        <w:t>附件1危险、有害因素的分析过程</w:t>
      </w:r>
      <w:bookmarkEnd w:id="153"/>
    </w:p>
    <w:p>
      <w:pPr>
        <w:spacing w:line="360" w:lineRule="auto"/>
        <w:jc w:val="both"/>
        <w:outlineLvl w:val="1"/>
        <w:rPr>
          <w:rFonts w:ascii="楷体_GB2312" w:hAnsi="Times New Roman" w:eastAsia="楷体_GB2312" w:cs="Times New Roman"/>
          <w:bCs/>
          <w:color w:val="auto"/>
          <w:kern w:val="2"/>
          <w:sz w:val="32"/>
          <w:lang w:val="en-US" w:eastAsia="zh-CN" w:bidi="ar-SA"/>
        </w:rPr>
      </w:pPr>
      <w:bookmarkStart w:id="154" w:name="_Toc22513"/>
      <w:r>
        <w:rPr>
          <w:rFonts w:ascii="楷体_GB2312" w:hAnsi="Times New Roman" w:eastAsia="楷体_GB2312" w:cs="Times New Roman"/>
          <w:b/>
          <w:bCs/>
          <w:color w:val="auto"/>
          <w:kern w:val="2"/>
          <w:sz w:val="32"/>
          <w:lang w:val="en-US" w:eastAsia="zh-CN" w:bidi="ar-SA"/>
        </w:rPr>
        <w:t>附件1.1危险化学品危险特性分</w:t>
      </w:r>
      <w:r>
        <w:rPr>
          <w:rFonts w:ascii="楷体_GB2312" w:hAnsi="Times New Roman" w:eastAsia="楷体_GB2312" w:cs="Times New Roman"/>
          <w:bCs/>
          <w:color w:val="auto"/>
          <w:kern w:val="2"/>
          <w:sz w:val="32"/>
          <w:lang w:val="en-US" w:eastAsia="zh-CN" w:bidi="ar-SA"/>
        </w:rPr>
        <w:t>析</w:t>
      </w:r>
      <w:bookmarkEnd w:id="149"/>
      <w:bookmarkEnd w:id="150"/>
      <w:bookmarkEnd w:id="151"/>
      <w:bookmarkEnd w:id="154"/>
    </w:p>
    <w:p>
      <w:pPr>
        <w:spacing w:line="360" w:lineRule="auto"/>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根据该公司提供的清洗剂（产品）鉴别报告（编号：</w:t>
      </w:r>
      <w:r>
        <w:rPr>
          <w:rFonts w:hint="eastAsia" w:ascii="宋体" w:hAnsi="宋体" w:eastAsia="宋体"/>
          <w:color w:val="auto"/>
          <w:sz w:val="28"/>
          <w:szCs w:val="28"/>
          <w:lang w:val="en-US" w:eastAsia="zh-CN"/>
        </w:rPr>
        <w:t>01092100008413，详见附件</w:t>
      </w:r>
      <w:r>
        <w:rPr>
          <w:rFonts w:hint="eastAsia" w:ascii="宋体" w:hAnsi="宋体" w:eastAsia="宋体"/>
          <w:color w:val="auto"/>
          <w:sz w:val="28"/>
          <w:szCs w:val="28"/>
          <w:lang w:eastAsia="zh-CN"/>
        </w:rPr>
        <w:t>）可知，清洗剂属于严重眼伤害</w:t>
      </w:r>
      <w:r>
        <w:rPr>
          <w:rFonts w:hint="eastAsia" w:ascii="宋体" w:hAnsi="宋体" w:eastAsia="宋体"/>
          <w:color w:val="auto"/>
          <w:sz w:val="28"/>
          <w:szCs w:val="28"/>
          <w:lang w:val="en-US" w:eastAsia="zh-CN"/>
        </w:rPr>
        <w:t>/刺激（类别2A），</w:t>
      </w:r>
      <w:r>
        <w:rPr>
          <w:rFonts w:hint="eastAsia" w:ascii="宋体" w:hAnsi="宋体" w:eastAsia="宋体"/>
          <w:color w:val="auto"/>
          <w:sz w:val="28"/>
          <w:szCs w:val="28"/>
          <w:lang w:eastAsia="zh-CN"/>
        </w:rPr>
        <w:t>虽然该产品不属于《危险化学品目录》（</w:t>
      </w:r>
      <w:r>
        <w:rPr>
          <w:rFonts w:hint="eastAsia" w:ascii="宋体" w:hAnsi="宋体" w:eastAsia="宋体"/>
          <w:color w:val="auto"/>
          <w:sz w:val="28"/>
          <w:szCs w:val="28"/>
          <w:lang w:val="en-US" w:eastAsia="zh-CN"/>
        </w:rPr>
        <w:t>2015版</w:t>
      </w:r>
      <w:r>
        <w:rPr>
          <w:rFonts w:hint="eastAsia" w:ascii="宋体" w:hAnsi="宋体" w:eastAsia="宋体"/>
          <w:color w:val="auto"/>
          <w:sz w:val="28"/>
          <w:szCs w:val="28"/>
          <w:lang w:eastAsia="zh-CN"/>
        </w:rPr>
        <w:t>）中列明的物质，但满足“危险化学品的定义和确定原则”，鉴别结果为清洗剂属于危险化学品。</w:t>
      </w:r>
    </w:p>
    <w:p>
      <w:pPr>
        <w:spacing w:line="360" w:lineRule="auto"/>
        <w:ind w:firstLine="425" w:firstLineChars="152"/>
        <w:jc w:val="both"/>
        <w:rPr>
          <w:rFonts w:ascii="宋体" w:hAnsi="宋体" w:eastAsia="宋体"/>
          <w:color w:val="auto"/>
          <w:sz w:val="28"/>
          <w:szCs w:val="28"/>
        </w:rPr>
      </w:pPr>
      <w:r>
        <w:rPr>
          <w:rFonts w:ascii="宋体" w:hAnsi="宋体" w:eastAsia="宋体"/>
          <w:color w:val="auto"/>
          <w:sz w:val="28"/>
          <w:szCs w:val="28"/>
        </w:rPr>
        <w:t>依据《危险化学品目录(2015版)》(安全监管总局、工业和信息化部、公安部等公告2015年第5号)辨识对</w:t>
      </w:r>
      <w:r>
        <w:rPr>
          <w:rFonts w:hint="eastAsia" w:ascii="宋体" w:hAnsi="宋体" w:eastAsia="宋体"/>
          <w:color w:val="auto"/>
          <w:sz w:val="28"/>
          <w:szCs w:val="28"/>
          <w:lang w:eastAsia="zh-CN"/>
        </w:rPr>
        <w:t>东莞优诺电子焊接材料有限公司</w:t>
      </w:r>
      <w:r>
        <w:rPr>
          <w:rFonts w:ascii="宋体" w:hAnsi="宋体" w:eastAsia="宋体"/>
          <w:color w:val="auto"/>
          <w:sz w:val="28"/>
          <w:szCs w:val="28"/>
        </w:rPr>
        <w:t>涉及的</w:t>
      </w:r>
      <w:r>
        <w:rPr>
          <w:rFonts w:hint="eastAsia" w:ascii="宋体" w:hAnsi="宋体" w:eastAsia="宋体"/>
          <w:color w:val="auto"/>
          <w:sz w:val="28"/>
          <w:szCs w:val="28"/>
        </w:rPr>
        <w:t>的危险化学品如附表</w:t>
      </w: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危险化学品分类信息</w:t>
      </w:r>
      <w:r>
        <w:rPr>
          <w:rFonts w:hint="eastAsia" w:ascii="宋体" w:hAnsi="宋体" w:eastAsia="宋体"/>
          <w:color w:val="auto"/>
          <w:sz w:val="28"/>
          <w:szCs w:val="28"/>
        </w:rPr>
        <w:t>附</w:t>
      </w:r>
      <w:r>
        <w:rPr>
          <w:rFonts w:ascii="宋体" w:hAnsi="宋体" w:eastAsia="宋体"/>
          <w:color w:val="auto"/>
          <w:sz w:val="28"/>
          <w:szCs w:val="28"/>
        </w:rPr>
        <w:t>表</w:t>
      </w:r>
      <w:r>
        <w:rPr>
          <w:rFonts w:hint="eastAsia" w:ascii="宋体" w:hAnsi="宋体" w:eastAsia="宋体"/>
          <w:color w:val="auto"/>
          <w:sz w:val="28"/>
          <w:szCs w:val="28"/>
          <w:lang w:eastAsia="zh-CN"/>
        </w:rPr>
        <w:t>1</w:t>
      </w:r>
      <w:r>
        <w:rPr>
          <w:rFonts w:ascii="宋体" w:hAnsi="宋体" w:eastAsia="宋体"/>
          <w:color w:val="auto"/>
          <w:sz w:val="28"/>
          <w:szCs w:val="28"/>
        </w:rPr>
        <w:t>-2</w:t>
      </w:r>
      <w:r>
        <w:rPr>
          <w:rFonts w:hint="eastAsia" w:ascii="宋体" w:hAnsi="宋体" w:eastAsia="宋体"/>
          <w:color w:val="auto"/>
          <w:sz w:val="28"/>
          <w:szCs w:val="28"/>
        </w:rPr>
        <w:t>。</w:t>
      </w:r>
    </w:p>
    <w:p>
      <w:pPr>
        <w:spacing w:line="560" w:lineRule="exact"/>
        <w:jc w:val="center"/>
        <w:rPr>
          <w:rFonts w:ascii="宋体" w:hAnsi="宋体" w:eastAsia="PMingLiU"/>
          <w:b/>
          <w:color w:val="auto"/>
        </w:rPr>
      </w:pPr>
      <w:r>
        <w:rPr>
          <w:rFonts w:ascii="宋体" w:hAnsi="宋体" w:eastAsia="宋体"/>
          <w:b/>
          <w:color w:val="auto"/>
        </w:rPr>
        <w:t>附表1-1主要危险物料列表</w:t>
      </w:r>
    </w:p>
    <w:tbl>
      <w:tblPr>
        <w:tblStyle w:val="46"/>
        <w:tblW w:w="866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568"/>
        <w:gridCol w:w="1483"/>
        <w:gridCol w:w="921"/>
        <w:gridCol w:w="1041"/>
        <w:gridCol w:w="1137"/>
        <w:gridCol w:w="1501"/>
        <w:gridCol w:w="1007"/>
        <w:gridCol w:w="100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tblHeader/>
          <w:jc w:val="center"/>
        </w:trPr>
        <w:tc>
          <w:tcPr>
            <w:tcW w:w="568"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1483"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原材料名称</w:t>
            </w:r>
          </w:p>
        </w:tc>
        <w:tc>
          <w:tcPr>
            <w:tcW w:w="92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危险化学品序号</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火灾危险性分类</w:t>
            </w:r>
          </w:p>
        </w:tc>
        <w:tc>
          <w:tcPr>
            <w:tcW w:w="113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年用量</w:t>
            </w:r>
            <w:r>
              <w:rPr>
                <w:rFonts w:hint="eastAsia" w:ascii="宋体" w:hAnsi="宋体" w:eastAsia="宋体" w:cs="宋体"/>
                <w:b/>
                <w:color w:val="auto"/>
                <w:kern w:val="2"/>
                <w:sz w:val="21"/>
                <w:szCs w:val="21"/>
                <w:lang w:eastAsia="zh-CN"/>
              </w:rPr>
              <w:t>/生产量(t)</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储存地点</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最大储存量</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8665" w:type="dxa"/>
            <w:gridSpan w:val="8"/>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主要原辅材料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1</w:t>
            </w:r>
          </w:p>
        </w:tc>
        <w:tc>
          <w:tcPr>
            <w:tcW w:w="1483"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环已烷</w:t>
            </w:r>
          </w:p>
        </w:tc>
        <w:tc>
          <w:tcPr>
            <w:tcW w:w="921" w:type="dxa"/>
            <w:shd w:val="clear" w:color="auto" w:fill="FFFFFF"/>
            <w:vAlign w:val="center"/>
          </w:tcPr>
          <w:p>
            <w:pPr>
              <w:keepNext w:val="0"/>
              <w:keepLines w:val="0"/>
              <w:suppressLineNumbers w:val="0"/>
              <w:tabs>
                <w:tab w:val="left" w:pos="2505"/>
              </w:tabs>
              <w:snapToGrid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953</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w:t>
            </w:r>
          </w:p>
        </w:tc>
        <w:tc>
          <w:tcPr>
            <w:tcW w:w="1137" w:type="dxa"/>
            <w:shd w:val="clear" w:color="auto" w:fill="FFFFFF"/>
            <w:vAlign w:val="center"/>
          </w:tcPr>
          <w:p>
            <w:pPr>
              <w:pStyle w:val="386"/>
              <w:keepNext w:val="0"/>
              <w:keepLines w:val="0"/>
              <w:suppressLineNumbers w:val="0"/>
              <w:spacing w:before="0" w:beforeAutospacing="0" w:after="0" w:afterAutospacing="0" w:line="240" w:lineRule="auto"/>
              <w:ind w:left="0" w:right="0" w:firstLine="420" w:firstLineChars="20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400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20</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2</w:t>
            </w:r>
          </w:p>
        </w:tc>
        <w:tc>
          <w:tcPr>
            <w:tcW w:w="1483" w:type="dxa"/>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2-丙醇</w:t>
            </w:r>
          </w:p>
        </w:tc>
        <w:tc>
          <w:tcPr>
            <w:tcW w:w="921" w:type="dxa"/>
            <w:shd w:val="clear" w:color="auto" w:fill="FFFFFF"/>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111</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w:t>
            </w:r>
          </w:p>
        </w:tc>
        <w:tc>
          <w:tcPr>
            <w:tcW w:w="113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zh-TW" w:eastAsia="zh-TW" w:bidi="zh-TW"/>
              </w:rPr>
            </w:pPr>
            <w:r>
              <w:rPr>
                <w:rFonts w:hint="eastAsia" w:ascii="宋体" w:hAnsi="宋体" w:eastAsia="宋体" w:cs="宋体"/>
                <w:color w:val="auto"/>
                <w:spacing w:val="0"/>
                <w:kern w:val="2"/>
                <w:sz w:val="21"/>
                <w:szCs w:val="21"/>
              </w:rPr>
              <w:t>160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15</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napToGrid w:val="0"/>
                <w:color w:val="auto"/>
                <w:kern w:val="2"/>
                <w:sz w:val="21"/>
                <w:szCs w:val="21"/>
                <w:lang w:val="zh-TW" w:eastAsia="zh-TW" w:bidi="zh-TW"/>
              </w:rPr>
            </w:pPr>
            <w:r>
              <w:rPr>
                <w:rFonts w:hint="eastAsia" w:ascii="宋体" w:hAnsi="宋体" w:eastAsia="宋体" w:cs="宋体"/>
                <w:snapToGrid w:val="0"/>
                <w:color w:val="auto"/>
                <w:kern w:val="2"/>
                <w:sz w:val="21"/>
                <w:szCs w:val="21"/>
              </w:rPr>
              <w:t>3</w:t>
            </w:r>
          </w:p>
        </w:tc>
        <w:tc>
          <w:tcPr>
            <w:tcW w:w="1483" w:type="dxa"/>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乙醇【无水】</w:t>
            </w:r>
          </w:p>
        </w:tc>
        <w:tc>
          <w:tcPr>
            <w:tcW w:w="921" w:type="dxa"/>
            <w:shd w:val="clear" w:color="auto" w:fill="FFFFFF"/>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2568</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甲</w:t>
            </w:r>
          </w:p>
        </w:tc>
        <w:tc>
          <w:tcPr>
            <w:tcW w:w="113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zh-TW" w:eastAsia="zh-TW" w:bidi="zh-TW"/>
              </w:rPr>
            </w:pPr>
            <w:r>
              <w:rPr>
                <w:rFonts w:hint="eastAsia" w:ascii="宋体" w:hAnsi="宋体" w:eastAsia="宋体" w:cs="宋体"/>
                <w:color w:val="auto"/>
                <w:spacing w:val="0"/>
                <w:kern w:val="2"/>
                <w:sz w:val="21"/>
                <w:szCs w:val="21"/>
              </w:rPr>
              <w:t>200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20</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4</w:t>
            </w:r>
          </w:p>
        </w:tc>
        <w:tc>
          <w:tcPr>
            <w:tcW w:w="1483" w:type="dxa"/>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壬基酚聚氧乙烯醚</w:t>
            </w:r>
          </w:p>
        </w:tc>
        <w:tc>
          <w:tcPr>
            <w:tcW w:w="921" w:type="dxa"/>
            <w:shd w:val="clear" w:color="auto" w:fill="FFFFFF"/>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1726</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丙</w:t>
            </w:r>
          </w:p>
        </w:tc>
        <w:tc>
          <w:tcPr>
            <w:tcW w:w="113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zh-TW" w:eastAsia="zh-TW" w:bidi="zh-TW"/>
              </w:rPr>
            </w:pPr>
            <w:r>
              <w:rPr>
                <w:rFonts w:hint="eastAsia" w:ascii="宋体" w:hAnsi="宋体" w:eastAsia="宋体" w:cs="宋体"/>
                <w:color w:val="auto"/>
                <w:spacing w:val="0"/>
                <w:kern w:val="2"/>
                <w:sz w:val="21"/>
                <w:szCs w:val="21"/>
              </w:rPr>
              <w:t>60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5</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w:t>
            </w:r>
          </w:p>
        </w:tc>
        <w:tc>
          <w:tcPr>
            <w:tcW w:w="1483" w:type="dxa"/>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正磷酸</w:t>
            </w:r>
          </w:p>
        </w:tc>
        <w:tc>
          <w:tcPr>
            <w:tcW w:w="921" w:type="dxa"/>
            <w:shd w:val="clear" w:color="auto" w:fill="FFFFFF"/>
            <w:vAlign w:val="center"/>
          </w:tcPr>
          <w:p>
            <w:pPr>
              <w:keepNext w:val="0"/>
              <w:keepLines w:val="0"/>
              <w:suppressLineNumbers w:val="0"/>
              <w:snapToGrid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2790</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w:t>
            </w:r>
          </w:p>
        </w:tc>
        <w:tc>
          <w:tcPr>
            <w:tcW w:w="1137" w:type="dxa"/>
            <w:shd w:val="clear" w:color="auto" w:fill="FFFFFF"/>
            <w:vAlign w:val="center"/>
          </w:tcPr>
          <w:p>
            <w:pPr>
              <w:pStyle w:val="491"/>
              <w:keepNext w:val="0"/>
              <w:keepLines w:val="0"/>
              <w:suppressLineNumbers w:val="0"/>
              <w:spacing w:before="0" w:beforeAutospacing="0" w:after="0" w:afterAutospacing="0"/>
              <w:ind w:left="0" w:right="0"/>
              <w:rPr>
                <w:rFonts w:hint="eastAsia" w:ascii="宋体" w:hAnsi="宋体" w:eastAsia="宋体" w:cs="宋体"/>
                <w:color w:val="auto"/>
                <w:spacing w:val="0"/>
                <w:kern w:val="2"/>
                <w:sz w:val="21"/>
                <w:szCs w:val="21"/>
                <w:lang w:val="en-US" w:eastAsia="zh-CN"/>
              </w:rPr>
            </w:pPr>
            <w:r>
              <w:rPr>
                <w:rFonts w:hint="eastAsia" w:ascii="宋体" w:hAnsi="宋体" w:eastAsia="宋体" w:cs="宋体"/>
                <w:color w:val="auto"/>
                <w:spacing w:val="0"/>
                <w:kern w:val="2"/>
                <w:sz w:val="21"/>
                <w:szCs w:val="21"/>
                <w:lang w:val="en-US" w:eastAsia="zh-CN"/>
              </w:rPr>
              <w:t>8</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6</w:t>
            </w:r>
          </w:p>
        </w:tc>
        <w:tc>
          <w:tcPr>
            <w:tcW w:w="1483" w:type="dxa"/>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硫酸</w:t>
            </w:r>
          </w:p>
        </w:tc>
        <w:tc>
          <w:tcPr>
            <w:tcW w:w="921" w:type="dxa"/>
            <w:shd w:val="clear" w:color="auto" w:fill="FFFFFF"/>
            <w:vAlign w:val="center"/>
          </w:tcPr>
          <w:p>
            <w:pPr>
              <w:keepNext w:val="0"/>
              <w:keepLines w:val="0"/>
              <w:suppressLineNumbers w:val="0"/>
              <w:snapToGrid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1302</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w:t>
            </w:r>
          </w:p>
        </w:tc>
        <w:tc>
          <w:tcPr>
            <w:tcW w:w="1137" w:type="dxa"/>
            <w:shd w:val="clear" w:color="auto" w:fill="FFFFFF"/>
            <w:vAlign w:val="center"/>
          </w:tcPr>
          <w:p>
            <w:pPr>
              <w:pStyle w:val="491"/>
              <w:keepNext w:val="0"/>
              <w:keepLines w:val="0"/>
              <w:suppressLineNumbers w:val="0"/>
              <w:spacing w:before="0" w:beforeAutospacing="0" w:after="0" w:afterAutospacing="0"/>
              <w:ind w:left="0" w:right="0"/>
              <w:rPr>
                <w:rFonts w:hint="default" w:ascii="宋体" w:hAnsi="宋体" w:eastAsia="宋体" w:cs="宋体"/>
                <w:color w:val="auto"/>
                <w:spacing w:val="0"/>
                <w:kern w:val="2"/>
                <w:sz w:val="21"/>
                <w:szCs w:val="21"/>
                <w:lang w:val="en-US" w:eastAsia="zh-CN"/>
              </w:rPr>
            </w:pPr>
            <w:r>
              <w:rPr>
                <w:rFonts w:hint="eastAsia" w:ascii="宋体" w:hAnsi="宋体" w:eastAsia="宋体" w:cs="宋体"/>
                <w:color w:val="auto"/>
                <w:spacing w:val="0"/>
                <w:kern w:val="2"/>
                <w:sz w:val="21"/>
                <w:szCs w:val="21"/>
                <w:lang w:val="en-US" w:eastAsia="zh-CN"/>
              </w:rPr>
              <w:t>200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15</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7</w:t>
            </w:r>
          </w:p>
        </w:tc>
        <w:tc>
          <w:tcPr>
            <w:tcW w:w="1483" w:type="dxa"/>
            <w:shd w:val="clear" w:color="auto" w:fill="FFFFFF"/>
            <w:vAlign w:val="top"/>
          </w:tcPr>
          <w:p>
            <w:pPr>
              <w:keepNext w:val="0"/>
              <w:keepLines w:val="0"/>
              <w:suppressLineNumbers w:val="0"/>
              <w:spacing w:before="0" w:beforeAutospacing="0" w:after="0" w:afterAutospacing="0" w:line="34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氢氧化钠</w:t>
            </w:r>
          </w:p>
        </w:tc>
        <w:tc>
          <w:tcPr>
            <w:tcW w:w="921" w:type="dxa"/>
            <w:shd w:val="clear" w:color="auto" w:fill="FFFFFF"/>
            <w:vAlign w:val="center"/>
          </w:tcPr>
          <w:p>
            <w:pPr>
              <w:keepNext w:val="0"/>
              <w:keepLines w:val="0"/>
              <w:suppressLineNumbers w:val="0"/>
              <w:snapToGrid w:val="0"/>
              <w:spacing w:before="0" w:beforeAutospacing="0" w:after="0" w:afterAutospacing="0"/>
              <w:ind w:left="0" w:right="0"/>
              <w:jc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1669</w:t>
            </w:r>
          </w:p>
        </w:tc>
        <w:tc>
          <w:tcPr>
            <w:tcW w:w="104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戊</w:t>
            </w:r>
          </w:p>
        </w:tc>
        <w:tc>
          <w:tcPr>
            <w:tcW w:w="1137" w:type="dxa"/>
            <w:shd w:val="clear" w:color="auto" w:fill="FFFFFF"/>
            <w:vAlign w:val="center"/>
          </w:tcPr>
          <w:p>
            <w:pPr>
              <w:pStyle w:val="491"/>
              <w:keepNext w:val="0"/>
              <w:keepLines w:val="0"/>
              <w:suppressLineNumbers w:val="0"/>
              <w:spacing w:before="0" w:beforeAutospacing="0" w:after="0" w:afterAutospacing="0"/>
              <w:ind w:left="0" w:right="0"/>
              <w:rPr>
                <w:rFonts w:hint="default" w:ascii="宋体" w:hAnsi="宋体" w:eastAsia="宋体" w:cs="宋体"/>
                <w:color w:val="auto"/>
                <w:spacing w:val="0"/>
                <w:kern w:val="2"/>
                <w:sz w:val="21"/>
                <w:szCs w:val="21"/>
                <w:lang w:val="en-US" w:eastAsia="zh-CN"/>
              </w:rPr>
            </w:pPr>
            <w:r>
              <w:rPr>
                <w:rFonts w:hint="eastAsia" w:ascii="宋体" w:hAnsi="宋体" w:eastAsia="宋体" w:cs="宋体"/>
                <w:color w:val="auto"/>
                <w:spacing w:val="0"/>
                <w:kern w:val="2"/>
                <w:sz w:val="21"/>
                <w:szCs w:val="21"/>
                <w:lang w:val="en-US" w:eastAsia="zh-CN"/>
              </w:rPr>
              <w:t>10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8665" w:type="dxa"/>
            <w:gridSpan w:val="8"/>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产品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1</w:t>
            </w:r>
          </w:p>
        </w:tc>
        <w:tc>
          <w:tcPr>
            <w:tcW w:w="1483"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快干助焊剂</w:t>
            </w:r>
          </w:p>
        </w:tc>
        <w:tc>
          <w:tcPr>
            <w:tcW w:w="92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2828</w:t>
            </w:r>
          </w:p>
        </w:tc>
        <w:tc>
          <w:tcPr>
            <w:tcW w:w="104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甲</w:t>
            </w:r>
          </w:p>
        </w:tc>
        <w:tc>
          <w:tcPr>
            <w:tcW w:w="113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700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30</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w:t>
            </w:r>
          </w:p>
        </w:tc>
        <w:tc>
          <w:tcPr>
            <w:tcW w:w="1483"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2-丙醇</w:t>
            </w:r>
          </w:p>
        </w:tc>
        <w:tc>
          <w:tcPr>
            <w:tcW w:w="92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111</w:t>
            </w:r>
          </w:p>
        </w:tc>
        <w:tc>
          <w:tcPr>
            <w:tcW w:w="104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甲</w:t>
            </w:r>
          </w:p>
        </w:tc>
        <w:tc>
          <w:tcPr>
            <w:tcW w:w="113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bidi="zh-TW"/>
              </w:rPr>
              <w:t>180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15</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3</w:t>
            </w:r>
          </w:p>
        </w:tc>
        <w:tc>
          <w:tcPr>
            <w:tcW w:w="1483"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清洗剂</w:t>
            </w:r>
          </w:p>
        </w:tc>
        <w:tc>
          <w:tcPr>
            <w:tcW w:w="92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2828</w:t>
            </w:r>
          </w:p>
        </w:tc>
        <w:tc>
          <w:tcPr>
            <w:tcW w:w="1041"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戊</w:t>
            </w:r>
          </w:p>
        </w:tc>
        <w:tc>
          <w:tcPr>
            <w:tcW w:w="113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120</w:t>
            </w:r>
          </w:p>
        </w:tc>
        <w:tc>
          <w:tcPr>
            <w:tcW w:w="1501"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p>
        </w:tc>
        <w:tc>
          <w:tcPr>
            <w:tcW w:w="1007" w:type="dxa"/>
            <w:shd w:val="clear" w:color="auto" w:fill="FFFFFF"/>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5</w:t>
            </w:r>
          </w:p>
        </w:tc>
        <w:tc>
          <w:tcPr>
            <w:tcW w:w="1007" w:type="dxa"/>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bl>
    <w:p>
      <w:pPr>
        <w:keepNext w:val="0"/>
        <w:keepLines w:val="0"/>
        <w:pageBreakBefore w:val="0"/>
        <w:widowControl w:val="0"/>
        <w:kinsoku/>
        <w:wordWrap/>
        <w:overflowPunct/>
        <w:topLinePunct w:val="0"/>
        <w:autoSpaceDE/>
        <w:autoSpaceDN/>
        <w:bidi w:val="0"/>
        <w:adjustRightInd/>
        <w:snapToGrid/>
        <w:spacing w:before="361" w:beforeLines="100" w:line="360" w:lineRule="auto"/>
        <w:ind w:firstLine="425" w:firstLineChars="152"/>
        <w:jc w:val="both"/>
        <w:textAlignment w:val="auto"/>
        <w:rPr>
          <w:rFonts w:hint="eastAsia" w:ascii="宋体" w:hAnsi="宋体" w:eastAsia="宋体"/>
          <w:color w:val="auto"/>
          <w:sz w:val="28"/>
          <w:szCs w:val="28"/>
        </w:rPr>
      </w:pPr>
      <w:r>
        <w:rPr>
          <w:rFonts w:hint="eastAsia" w:ascii="宋体" w:hAnsi="宋体" w:eastAsia="宋体"/>
          <w:color w:val="auto"/>
          <w:sz w:val="28"/>
          <w:szCs w:val="28"/>
          <w:lang w:eastAsia="zh-CN"/>
        </w:rPr>
        <w:t>1)</w:t>
      </w:r>
      <w:r>
        <w:rPr>
          <w:rFonts w:hint="eastAsia" w:ascii="宋体" w:hAnsi="宋体" w:eastAsia="宋体"/>
          <w:color w:val="auto"/>
          <w:sz w:val="28"/>
          <w:szCs w:val="28"/>
        </w:rPr>
        <w:t>易燃易爆性</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该企业使用的原料如环己烷、正己烷、乙醇[无水]、2-丙醇、壬基酚聚氧乙烯醚及产品等为易燃液体，其挥发出的可燃蒸气可与空气形成爆炸性混合物，遇火源有发生火灾、爆炸的危险。其蒸气比空气重，能在较低处扩散到相当远的地方，遇火源引着回燃。</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lang w:eastAsia="zh-CN"/>
        </w:rPr>
        <w:t>2)</w:t>
      </w:r>
      <w:r>
        <w:rPr>
          <w:rFonts w:hint="eastAsia" w:ascii="宋体" w:hAnsi="宋体" w:eastAsia="宋体"/>
          <w:color w:val="auto"/>
          <w:sz w:val="28"/>
          <w:szCs w:val="28"/>
        </w:rPr>
        <w:t>毒害性</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该企业生产过程中使用原料环己烷、正己烷、乙醇[无水]、2-丙醇、壬基酚聚氧乙烯醚及产品等均有一定的毒害性，如人员长期吸入过量的有害物质，可导致人员的急性中毒或慢性中毒。</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lang w:eastAsia="zh-CN"/>
        </w:rPr>
        <w:t>3)</w:t>
      </w:r>
      <w:r>
        <w:rPr>
          <w:rFonts w:hint="eastAsia" w:ascii="宋体" w:hAnsi="宋体" w:eastAsia="宋体"/>
          <w:color w:val="auto"/>
          <w:sz w:val="28"/>
          <w:szCs w:val="28"/>
        </w:rPr>
        <w:t>刺激性</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环己烷、乙醇[无水]、2-丙醇、壬基酚聚氧乙烯醚及产品等对皮肤、粘膜、眼睛有刺激作用，其蒸气对呼吸道有刺激性。此外生产水基清洗剂过程使用到磷酸、硫酸、氢氧化钠等腐蚀品，具有强腐蚀性，对皮肤、粘膜、眼睛具有刺激作用，其蒸气对呼吸道有刺激性。</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lang w:eastAsia="zh-CN"/>
        </w:rPr>
        <w:t>4)</w:t>
      </w:r>
      <w:r>
        <w:rPr>
          <w:rFonts w:hint="eastAsia" w:ascii="宋体" w:hAnsi="宋体" w:eastAsia="宋体"/>
          <w:color w:val="auto"/>
          <w:sz w:val="28"/>
          <w:szCs w:val="28"/>
        </w:rPr>
        <w:t>易积聚静电</w:t>
      </w:r>
    </w:p>
    <w:p>
      <w:pPr>
        <w:spacing w:line="360" w:lineRule="auto"/>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环己烷、乙醇[无水]、2-丙醇、壬基酚聚氧乙烯醚及产品等各种易燃液体在生产搅拌、输送时与器壁、管壁摩擦易产生静电积聚。</w:t>
      </w:r>
    </w:p>
    <w:p>
      <w:pPr>
        <w:spacing w:line="360" w:lineRule="auto"/>
        <w:ind w:firstLine="425" w:firstLineChars="152"/>
        <w:jc w:val="both"/>
        <w:rPr>
          <w:rFonts w:hint="eastAsia" w:ascii="宋体" w:hAnsi="宋体" w:eastAsia="宋体" w:cs="宋体"/>
          <w:color w:val="auto"/>
          <w:sz w:val="28"/>
          <w:szCs w:val="28"/>
          <w:lang w:eastAsia="zh-CN"/>
        </w:rPr>
      </w:pPr>
      <w:r>
        <w:rPr>
          <w:rFonts w:hint="eastAsia" w:ascii="宋体" w:hAnsi="宋体" w:eastAsia="宋体"/>
          <w:color w:val="auto"/>
          <w:sz w:val="28"/>
          <w:szCs w:val="28"/>
        </w:rPr>
        <w:t>该企业生产中涉及的危险化学品的理化性质与危险特性主要从《化学品安全卫生综合信息系统》(1.2版，国家化学品登记中心,2003年出版)中危险物质的《安全技术说明书》获得，或从《新编危险物品安全手册》(化学工业出版社)中获得，整理列表如附表1-2～附表1-1</w:t>
      </w:r>
      <w:r>
        <w:rPr>
          <w:rFonts w:hint="eastAsia" w:ascii="宋体" w:hAnsi="宋体" w:eastAsia="宋体"/>
          <w:color w:val="auto"/>
          <w:sz w:val="28"/>
          <w:szCs w:val="28"/>
          <w:lang w:val="en-US" w:eastAsia="zh-CN"/>
        </w:rPr>
        <w:t>0</w:t>
      </w:r>
      <w:r>
        <w:rPr>
          <w:rFonts w:hint="eastAsia" w:ascii="宋体" w:hAnsi="宋体" w:eastAsia="宋体"/>
          <w:color w:val="auto"/>
          <w:sz w:val="28"/>
          <w:szCs w:val="28"/>
        </w:rPr>
        <w:t>。</w:t>
      </w: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eastAsia="zh-CN"/>
        </w:rPr>
        <w:t>2环己烷理化特性表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12"/>
        <w:gridCol w:w="1706"/>
        <w:gridCol w:w="1051"/>
        <w:gridCol w:w="834"/>
        <w:gridCol w:w="65"/>
        <w:gridCol w:w="45"/>
        <w:gridCol w:w="1033"/>
        <w:gridCol w:w="1283"/>
        <w:gridCol w:w="1134"/>
        <w:gridCol w:w="709"/>
        <w:gridCol w:w="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标识</w:t>
            </w:r>
          </w:p>
        </w:tc>
        <w:tc>
          <w:tcPr>
            <w:tcW w:w="6017" w:type="dxa"/>
            <w:gridSpan w:val="7"/>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spacing w:val="10"/>
                <w:kern w:val="2"/>
                <w:sz w:val="21"/>
                <w:szCs w:val="21"/>
              </w:rPr>
              <w:t>中文名：</w:t>
            </w:r>
            <w:r>
              <w:rPr>
                <w:rFonts w:hint="eastAsia" w:ascii="宋体" w:hAnsi="宋体" w:eastAsia="宋体" w:cs="宋体"/>
                <w:bCs/>
                <w:color w:val="auto"/>
                <w:kern w:val="0"/>
                <w:sz w:val="21"/>
                <w:szCs w:val="21"/>
              </w:rPr>
              <w:t>环己烷；六氢化苯</w:t>
            </w:r>
          </w:p>
        </w:tc>
        <w:tc>
          <w:tcPr>
            <w:tcW w:w="2771" w:type="dxa"/>
            <w:gridSpan w:val="3"/>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危险化学品目录序号：953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p>
        </w:tc>
        <w:tc>
          <w:tcPr>
            <w:tcW w:w="6017" w:type="dxa"/>
            <w:gridSpan w:val="7"/>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英文名：</w:t>
            </w:r>
            <w:r>
              <w:rPr>
                <w:rFonts w:hint="eastAsia" w:ascii="宋体" w:hAnsi="宋体" w:eastAsia="宋体" w:cs="宋体"/>
                <w:color w:val="auto"/>
                <w:kern w:val="0"/>
                <w:sz w:val="21"/>
                <w:szCs w:val="21"/>
              </w:rPr>
              <w:t>Cyclohexane；Hexahydrobenzene</w:t>
            </w:r>
          </w:p>
        </w:tc>
        <w:tc>
          <w:tcPr>
            <w:tcW w:w="2771" w:type="dxa"/>
            <w:gridSpan w:val="3"/>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UN编号：</w:t>
            </w:r>
            <w:r>
              <w:rPr>
                <w:rFonts w:hint="eastAsia" w:ascii="宋体" w:hAnsi="宋体" w:eastAsia="宋体" w:cs="宋体"/>
                <w:color w:val="auto"/>
                <w:kern w:val="0"/>
                <w:sz w:val="21"/>
                <w:szCs w:val="21"/>
              </w:rPr>
              <w:t>1145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3656"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920" w:right="0" w:hanging="920" w:hangingChars="40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分子式：</w:t>
            </w:r>
            <w:r>
              <w:rPr>
                <w:rFonts w:hint="eastAsia" w:ascii="宋体" w:hAnsi="宋体" w:eastAsia="宋体" w:cs="宋体"/>
                <w:color w:val="auto"/>
                <w:kern w:val="0"/>
                <w:sz w:val="21"/>
                <w:szCs w:val="21"/>
              </w:rPr>
              <w:t>C</w:t>
            </w:r>
            <w:r>
              <w:rPr>
                <w:rFonts w:hint="eastAsia" w:ascii="宋体" w:hAnsi="宋体" w:eastAsia="宋体" w:cs="宋体"/>
                <w:color w:val="auto"/>
                <w:kern w:val="0"/>
                <w:sz w:val="21"/>
                <w:szCs w:val="21"/>
                <w:vertAlign w:val="subscript"/>
              </w:rPr>
              <w:t>6</w:t>
            </w:r>
            <w:r>
              <w:rPr>
                <w:rFonts w:hint="eastAsia" w:ascii="宋体" w:hAnsi="宋体" w:eastAsia="宋体" w:cs="宋体"/>
                <w:color w:val="auto"/>
                <w:kern w:val="0"/>
                <w:sz w:val="21"/>
                <w:szCs w:val="21"/>
              </w:rPr>
              <w:t>H</w:t>
            </w:r>
            <w:r>
              <w:rPr>
                <w:rFonts w:hint="eastAsia" w:ascii="宋体" w:hAnsi="宋体" w:eastAsia="宋体" w:cs="宋体"/>
                <w:color w:val="auto"/>
                <w:kern w:val="0"/>
                <w:sz w:val="21"/>
                <w:szCs w:val="21"/>
                <w:vertAlign w:val="subscript"/>
              </w:rPr>
              <w:t>12</w:t>
            </w:r>
          </w:p>
        </w:tc>
        <w:tc>
          <w:tcPr>
            <w:tcW w:w="236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分子量：</w:t>
            </w:r>
            <w:r>
              <w:rPr>
                <w:rFonts w:hint="eastAsia" w:ascii="宋体" w:hAnsi="宋体" w:eastAsia="宋体" w:cs="宋体"/>
                <w:color w:val="auto"/>
                <w:kern w:val="0"/>
                <w:sz w:val="21"/>
                <w:szCs w:val="21"/>
              </w:rPr>
              <w:t>84.16</w:t>
            </w:r>
          </w:p>
        </w:tc>
        <w:tc>
          <w:tcPr>
            <w:tcW w:w="277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CAS号：</w:t>
            </w:r>
            <w:r>
              <w:rPr>
                <w:rFonts w:hint="eastAsia" w:ascii="宋体" w:hAnsi="宋体" w:eastAsia="宋体" w:cs="宋体"/>
                <w:color w:val="auto"/>
                <w:kern w:val="0"/>
                <w:sz w:val="21"/>
                <w:szCs w:val="21"/>
              </w:rPr>
              <w:t>110-82-7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理化性质</w:t>
            </w: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外观与性状</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无色液体，有刺激性气味。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主要用途</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用作一般溶剂、色谱分析标准物质及用于有机合成。</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熔点(℃)</w:t>
            </w:r>
          </w:p>
        </w:tc>
        <w:tc>
          <w:tcPr>
            <w:tcW w:w="1051"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6.47</w:t>
            </w:r>
          </w:p>
        </w:tc>
        <w:tc>
          <w:tcPr>
            <w:tcW w:w="1977" w:type="dxa"/>
            <w:gridSpan w:val="4"/>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相对密度(水=1)</w:t>
            </w:r>
          </w:p>
        </w:tc>
        <w:tc>
          <w:tcPr>
            <w:tcW w:w="1283"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firstLine="105" w:firstLineChars="5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0.78</w:t>
            </w:r>
          </w:p>
        </w:tc>
        <w:tc>
          <w:tcPr>
            <w:tcW w:w="1843"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Style w:val="246"/>
                <w:rFonts w:hint="eastAsia" w:ascii="宋体" w:hAnsi="宋体" w:eastAsia="宋体" w:cs="宋体"/>
                <w:color w:val="auto"/>
                <w:spacing w:val="-4"/>
                <w:kern w:val="2"/>
                <w:sz w:val="21"/>
                <w:szCs w:val="21"/>
              </w:rPr>
            </w:pPr>
            <w:r>
              <w:rPr>
                <w:rStyle w:val="246"/>
                <w:rFonts w:hint="eastAsia" w:ascii="宋体" w:hAnsi="宋体" w:eastAsia="宋体" w:cs="宋体"/>
                <w:color w:val="auto"/>
                <w:spacing w:val="-4"/>
                <w:kern w:val="2"/>
                <w:sz w:val="21"/>
                <w:szCs w:val="21"/>
              </w:rPr>
              <w:t>相对密度(空气=1)</w:t>
            </w:r>
          </w:p>
        </w:tc>
        <w:tc>
          <w:tcPr>
            <w:tcW w:w="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2.90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沸点(℃)</w:t>
            </w:r>
          </w:p>
        </w:tc>
        <w:tc>
          <w:tcPr>
            <w:tcW w:w="1051"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80.7</w:t>
            </w:r>
          </w:p>
        </w:tc>
        <w:tc>
          <w:tcPr>
            <w:tcW w:w="1977" w:type="dxa"/>
            <w:gridSpan w:val="4"/>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饱和蒸气压(kPa)</w:t>
            </w:r>
          </w:p>
        </w:tc>
        <w:tc>
          <w:tcPr>
            <w:tcW w:w="4054" w:type="dxa"/>
            <w:gridSpan w:val="4"/>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12.7(20℃)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温度、压力</w:t>
            </w:r>
          </w:p>
        </w:tc>
        <w:tc>
          <w:tcPr>
            <w:tcW w:w="1885" w:type="dxa"/>
            <w:gridSpan w:val="2"/>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临界温度(℃)</w:t>
            </w:r>
          </w:p>
        </w:tc>
        <w:tc>
          <w:tcPr>
            <w:tcW w:w="1143"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15" w:firstLineChars="150"/>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280.4</w:t>
            </w:r>
          </w:p>
        </w:tc>
        <w:tc>
          <w:tcPr>
            <w:tcW w:w="2417"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1637"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4.05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溶解性</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不溶于水，溶于乙醇、乙醚、苯、丙酮、等多数有机溶剂。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毒性及健康危害</w:t>
            </w:r>
          </w:p>
        </w:tc>
        <w:tc>
          <w:tcPr>
            <w:tcW w:w="1706"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侵入途径</w:t>
            </w:r>
          </w:p>
        </w:tc>
        <w:tc>
          <w:tcPr>
            <w:tcW w:w="7082" w:type="dxa"/>
            <w:gridSpan w:val="9"/>
            <w:tcBorders>
              <w:top w:val="single" w:color="auto" w:sz="6" w:space="0"/>
              <w:left w:val="single" w:color="auto" w:sz="6" w:space="0"/>
              <w:bottom w:val="nil"/>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毒性</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7"/>
                <w:rFonts w:hint="eastAsia" w:ascii="宋体" w:hAnsi="宋体" w:eastAsia="宋体" w:cs="宋体"/>
                <w:color w:val="auto"/>
                <w:kern w:val="2"/>
                <w:sz w:val="21"/>
                <w:szCs w:val="21"/>
              </w:rPr>
              <w:t>大鼠经口LD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:12705；</w:t>
            </w:r>
            <w:r>
              <w:rPr>
                <w:rStyle w:val="247"/>
                <w:rFonts w:hint="eastAsia" w:ascii="宋体" w:hAnsi="宋体" w:eastAsia="宋体" w:cs="宋体"/>
                <w:color w:val="auto"/>
                <w:kern w:val="2"/>
                <w:sz w:val="21"/>
                <w:szCs w:val="21"/>
              </w:rPr>
              <w:t>小鼠经口LD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:813；</w:t>
            </w:r>
          </w:p>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小鼠吸入LC</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(mg/m</w:t>
            </w:r>
            <w:r>
              <w:rPr>
                <w:rStyle w:val="247"/>
                <w:rFonts w:hint="eastAsia" w:ascii="宋体" w:hAnsi="宋体" w:eastAsia="宋体" w:cs="宋体"/>
                <w:color w:val="auto"/>
                <w:kern w:val="2"/>
                <w:sz w:val="21"/>
                <w:szCs w:val="21"/>
                <w:vertAlign w:val="superscript"/>
              </w:rPr>
              <w:t>3</w:t>
            </w:r>
            <w:r>
              <w:rPr>
                <w:rStyle w:val="247"/>
                <w:rFonts w:hint="eastAsia" w:ascii="宋体" w:hAnsi="宋体" w:eastAsia="宋体" w:cs="宋体"/>
                <w:color w:val="auto"/>
                <w:kern w:val="2"/>
                <w:sz w:val="21"/>
                <w:szCs w:val="21"/>
              </w:rPr>
              <w:t>)</w:t>
            </w:r>
            <w:r>
              <w:rPr>
                <w:rStyle w:val="246"/>
                <w:rFonts w:hint="eastAsia" w:ascii="宋体" w:hAnsi="宋体" w:eastAsia="宋体" w:cs="宋体"/>
                <w:color w:val="auto"/>
                <w:kern w:val="2"/>
                <w:sz w:val="21"/>
                <w:szCs w:val="21"/>
              </w:rPr>
              <w:t>:70000mg/m</w:t>
            </w:r>
            <w:r>
              <w:rPr>
                <w:rStyle w:val="246"/>
                <w:rFonts w:hint="eastAsia" w:ascii="宋体" w:hAnsi="宋体" w:eastAsia="宋体" w:cs="宋体"/>
                <w:color w:val="auto"/>
                <w:kern w:val="2"/>
                <w:sz w:val="21"/>
                <w:szCs w:val="21"/>
                <w:vertAlign w:val="superscript"/>
              </w:rPr>
              <w:t>3</w:t>
            </w:r>
            <w:r>
              <w:rPr>
                <w:rStyle w:val="246"/>
                <w:rFonts w:hint="eastAsia" w:ascii="宋体" w:hAnsi="宋体" w:eastAsia="宋体" w:cs="宋体"/>
                <w:color w:val="auto"/>
                <w:kern w:val="2"/>
                <w:sz w:val="21"/>
                <w:szCs w:val="21"/>
              </w:rPr>
              <w:t>/2h</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7"/>
                <w:rFonts w:hint="eastAsia" w:ascii="宋体" w:hAnsi="宋体" w:eastAsia="宋体" w:cs="宋体"/>
                <w:color w:val="auto"/>
                <w:kern w:val="2"/>
                <w:sz w:val="21"/>
                <w:szCs w:val="21"/>
              </w:rPr>
            </w:pPr>
            <w:r>
              <w:rPr>
                <w:rFonts w:hint="eastAsia" w:ascii="宋体" w:hAnsi="宋体" w:eastAsia="宋体" w:cs="宋体"/>
                <w:color w:val="auto"/>
                <w:kern w:val="0"/>
                <w:sz w:val="21"/>
                <w:szCs w:val="21"/>
              </w:rPr>
              <w:t>易燃液体,类别2；皮肤腐蚀/刺激,类别2；特异性靶器官毒性-一次接触,类别3(麻醉效应)；吸入危害,类别1；危害水生环境-急性危害,类别1。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健康危害</w:t>
            </w:r>
          </w:p>
        </w:tc>
        <w:tc>
          <w:tcPr>
            <w:tcW w:w="7082" w:type="dxa"/>
            <w:gridSpan w:val="9"/>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对眼和上呼吸道有轻度刺激作用。持续吸入可引起头晕、恶心、倦睡和其他一些麻醉症状。液体污染皮肤可引起痒感。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急救方法</w:t>
            </w:r>
          </w:p>
        </w:tc>
        <w:tc>
          <w:tcPr>
            <w:tcW w:w="7082" w:type="dxa"/>
            <w:gridSpan w:val="9"/>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皮肤接触：脱去污染的衣着，用肥皂水和清水彻底冲洗皮肤。如有不适感，就医。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眼睛接触：提起眼睑，用流动清水或生理盐水冲洗。如有不适感，就医。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吸入：迅速脱离现场至空气新鲜处。保持呼吸道通畅。如呼吸困难，给输氧。呼吸、心跳停止，立即进行心肺复苏术。就医。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入：饮水，禁止催吐。如有不适感，就医。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082" w:type="dxa"/>
            <w:gridSpan w:val="9"/>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工程控制：生产过程密闭，全面通风。提供安全淋浴和洗眼设备。</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呼吸系统防护：一般不需要特殊防护，高浓度接触时可佩戴过滤式防毒面具(半面罩)。眼睛防护：空气中浓度超标时，戴安全防护眼镜。</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身体防护：穿防静电工作服。手防护：戴橡胶耐油手套。</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燃烧爆炸危险性</w:t>
            </w: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燃烧性</w:t>
            </w:r>
          </w:p>
        </w:tc>
        <w:tc>
          <w:tcPr>
            <w:tcW w:w="199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易燃</w:t>
            </w:r>
          </w:p>
        </w:tc>
        <w:tc>
          <w:tcPr>
            <w:tcW w:w="2316"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燃烧分解物</w:t>
            </w:r>
          </w:p>
        </w:tc>
        <w:tc>
          <w:tcPr>
            <w:tcW w:w="277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一氧化碳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闪点(℃)</w:t>
            </w:r>
          </w:p>
        </w:tc>
        <w:tc>
          <w:tcPr>
            <w:tcW w:w="199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-18</w:t>
            </w:r>
          </w:p>
        </w:tc>
        <w:tc>
          <w:tcPr>
            <w:tcW w:w="2316"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爆炸上限%(v%)：</w:t>
            </w:r>
          </w:p>
        </w:tc>
        <w:tc>
          <w:tcPr>
            <w:tcW w:w="277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8.4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自燃温度(℃)</w:t>
            </w:r>
          </w:p>
        </w:tc>
        <w:tc>
          <w:tcPr>
            <w:tcW w:w="199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245</w:t>
            </w:r>
          </w:p>
        </w:tc>
        <w:tc>
          <w:tcPr>
            <w:tcW w:w="2316"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爆炸下限%(v%)：</w:t>
            </w:r>
          </w:p>
        </w:tc>
        <w:tc>
          <w:tcPr>
            <w:tcW w:w="277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1.3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危险特性</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spacing w:val="-4"/>
                <w:kern w:val="2"/>
                <w:sz w:val="21"/>
                <w:szCs w:val="21"/>
              </w:rPr>
            </w:pPr>
            <w:r>
              <w:rPr>
                <w:rStyle w:val="246"/>
                <w:rFonts w:hint="eastAsia" w:ascii="宋体" w:hAnsi="宋体" w:eastAsia="宋体" w:cs="宋体"/>
                <w:color w:val="auto"/>
                <w:spacing w:val="-4"/>
                <w:kern w:val="2"/>
                <w:sz w:val="21"/>
                <w:szCs w:val="21"/>
              </w:rPr>
              <w:t>极易燃，其蒸气与空气可形成爆炸性混合物，遇明火、高热极易燃烧爆炸。与氧化剂接触发生强烈反应,甚至引起燃烧。在火场中，受热的容器有爆炸危险。蒸气比空气重，沿地面扩散并易积存于低洼处，遇火源会着火回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包装与储运</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spacing w:val="-4"/>
                <w:kern w:val="2"/>
                <w:sz w:val="21"/>
                <w:szCs w:val="21"/>
              </w:rPr>
            </w:pPr>
            <w:r>
              <w:rPr>
                <w:rStyle w:val="246"/>
                <w:rFonts w:hint="eastAsia" w:ascii="宋体" w:hAnsi="宋体" w:eastAsia="宋体" w:cs="宋体"/>
                <w:color w:val="auto"/>
                <w:spacing w:val="-4"/>
                <w:kern w:val="2"/>
                <w:sz w:val="21"/>
                <w:szCs w:val="21"/>
              </w:rPr>
              <w:t>小开口钢桶；安瓿瓶外普通木箱；螺纹口玻璃瓶、铁盖压口玻璃瓶、塑料瓶或金属桶(罐)外普通木箱。储存于阴凉、通风的库房。远离火种、热源。库温不宜超过29℃，保持容器密封。应与氧化剂分开存放，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禁忌物</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强氧化剂、强酸、强碱、卤素。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灭火方法</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用泡沫、二氧化碳、干粉、砂土灭火。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12"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70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082" w:type="dxa"/>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spacing w:val="-4"/>
                <w:kern w:val="2"/>
                <w:sz w:val="21"/>
                <w:szCs w:val="21"/>
              </w:rPr>
            </w:pPr>
            <w:r>
              <w:rPr>
                <w:rStyle w:val="246"/>
                <w:rFonts w:hint="eastAsia" w:ascii="宋体" w:hAnsi="宋体" w:eastAsia="宋体" w:cs="宋体"/>
                <w:color w:val="auto"/>
                <w:spacing w:val="-4"/>
                <w:kern w:val="2"/>
                <w:sz w:val="21"/>
                <w:szCs w:val="21"/>
              </w:rPr>
              <w:t>消除所有点火源。根据液体流动和蒸气扩散的影响区域划定警戒区，无关人员从侧风、上风向撤离至安全区。建议应急处理人员戴正压自给式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飞尘或石灰粉吸收大量液体。用泡沫覆盖，减少蒸发。喷水雾能减少蒸发，但不能降低泄漏物在受限制空间内的易燃性。用防爆泵转移至槽车或专用收集器内。</w:t>
            </w:r>
          </w:p>
        </w:tc>
      </w:tr>
    </w:tbl>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3</w:t>
      </w:r>
      <w:r>
        <w:rPr>
          <w:rFonts w:hint="eastAsia" w:ascii="宋体" w:hAnsi="宋体" w:eastAsia="宋体"/>
          <w:b/>
          <w:color w:val="auto"/>
          <w:lang w:eastAsia="zh-CN"/>
        </w:rPr>
        <w:t>乙醇</w:t>
      </w:r>
      <w:r>
        <w:rPr>
          <w:rFonts w:hint="eastAsia" w:ascii="宋体" w:hAnsi="宋体" w:eastAsia="宋体"/>
          <w:b/>
          <w:color w:val="auto"/>
          <w:lang w:val="en-US" w:eastAsia="zh-CN"/>
        </w:rPr>
        <w:t>[无水]</w:t>
      </w:r>
      <w:r>
        <w:rPr>
          <w:rFonts w:hint="eastAsia" w:ascii="宋体" w:hAnsi="宋体" w:eastAsia="宋体"/>
          <w:b/>
          <w:color w:val="auto"/>
          <w:lang w:eastAsia="zh-CN"/>
        </w:rPr>
        <w:t>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48"/>
        <w:gridCol w:w="1375"/>
        <w:gridCol w:w="501"/>
        <w:gridCol w:w="576"/>
        <w:gridCol w:w="513"/>
        <w:gridCol w:w="250"/>
        <w:gridCol w:w="204"/>
        <w:gridCol w:w="970"/>
        <w:gridCol w:w="1256"/>
        <w:gridCol w:w="294"/>
        <w:gridCol w:w="76"/>
        <w:gridCol w:w="759"/>
        <w:gridCol w:w="775"/>
        <w:gridCol w:w="1303"/>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6015"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中文名：</w:t>
            </w:r>
            <w:r>
              <w:rPr>
                <w:rFonts w:hint="eastAsia" w:ascii="宋体" w:hAnsi="宋体" w:eastAsia="宋体" w:cs="宋体"/>
                <w:bCs/>
                <w:color w:val="auto"/>
                <w:kern w:val="0"/>
                <w:sz w:val="21"/>
                <w:szCs w:val="21"/>
              </w:rPr>
              <w:t>乙醇；酒精</w:t>
            </w:r>
          </w:p>
        </w:tc>
        <w:tc>
          <w:tcPr>
            <w:tcW w:w="2837" w:type="dxa"/>
            <w:gridSpan w:val="3"/>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危险化学品目录序号：2568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6015" w:type="dxa"/>
            <w:gridSpan w:val="10"/>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r>
              <w:rPr>
                <w:rFonts w:hint="eastAsia" w:ascii="宋体" w:hAnsi="宋体" w:eastAsia="宋体" w:cs="宋体"/>
                <w:color w:val="auto"/>
                <w:kern w:val="0"/>
                <w:sz w:val="21"/>
                <w:szCs w:val="21"/>
              </w:rPr>
              <w:t>Ethylatcohol；Ethanol</w:t>
            </w:r>
          </w:p>
        </w:tc>
        <w:tc>
          <w:tcPr>
            <w:tcW w:w="2837" w:type="dxa"/>
            <w:gridSpan w:val="3"/>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UN编号：</w:t>
            </w:r>
            <w:r>
              <w:rPr>
                <w:rFonts w:hint="eastAsia" w:ascii="宋体" w:hAnsi="宋体" w:eastAsia="宋体" w:cs="宋体"/>
                <w:color w:val="auto"/>
                <w:kern w:val="0"/>
                <w:sz w:val="21"/>
                <w:szCs w:val="21"/>
              </w:rPr>
              <w:t>1170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3419"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840" w:right="0" w:hanging="840" w:hangingChars="4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分子式：</w:t>
            </w:r>
            <w:r>
              <w:rPr>
                <w:rFonts w:hint="eastAsia" w:ascii="宋体" w:hAnsi="宋体" w:eastAsia="宋体" w:cs="宋体"/>
                <w:color w:val="auto"/>
                <w:kern w:val="0"/>
                <w:sz w:val="21"/>
                <w:szCs w:val="21"/>
              </w:rPr>
              <w:t>C</w:t>
            </w:r>
            <w:r>
              <w:rPr>
                <w:rFonts w:hint="eastAsia" w:ascii="宋体" w:hAnsi="宋体" w:eastAsia="宋体" w:cs="宋体"/>
                <w:color w:val="auto"/>
                <w:kern w:val="0"/>
                <w:sz w:val="21"/>
                <w:szCs w:val="21"/>
                <w:vertAlign w:val="subscript"/>
              </w:rPr>
              <w:t>2</w:t>
            </w:r>
            <w:r>
              <w:rPr>
                <w:rFonts w:hint="eastAsia" w:ascii="宋体" w:hAnsi="宋体" w:eastAsia="宋体" w:cs="宋体"/>
                <w:color w:val="auto"/>
                <w:kern w:val="0"/>
                <w:sz w:val="21"/>
                <w:szCs w:val="21"/>
              </w:rPr>
              <w:t>H</w:t>
            </w:r>
            <w:r>
              <w:rPr>
                <w:rFonts w:hint="eastAsia" w:ascii="宋体" w:hAnsi="宋体" w:eastAsia="宋体" w:cs="宋体"/>
                <w:color w:val="auto"/>
                <w:kern w:val="0"/>
                <w:sz w:val="21"/>
                <w:szCs w:val="21"/>
                <w:vertAlign w:val="subscript"/>
              </w:rPr>
              <w:t>6</w:t>
            </w:r>
            <w:r>
              <w:rPr>
                <w:rFonts w:hint="eastAsia" w:ascii="宋体" w:hAnsi="宋体" w:eastAsia="宋体" w:cs="宋体"/>
                <w:color w:val="auto"/>
                <w:kern w:val="0"/>
                <w:sz w:val="21"/>
                <w:szCs w:val="21"/>
              </w:rPr>
              <w:t>O</w:t>
            </w:r>
          </w:p>
        </w:tc>
        <w:tc>
          <w:tcPr>
            <w:tcW w:w="2596"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分子量：</w:t>
            </w:r>
            <w:r>
              <w:rPr>
                <w:rFonts w:hint="eastAsia" w:ascii="宋体" w:hAnsi="宋体" w:eastAsia="宋体" w:cs="宋体"/>
                <w:color w:val="auto"/>
                <w:kern w:val="0"/>
                <w:sz w:val="21"/>
                <w:szCs w:val="21"/>
              </w:rPr>
              <w:t>46.07</w:t>
            </w:r>
          </w:p>
        </w:tc>
        <w:tc>
          <w:tcPr>
            <w:tcW w:w="2837"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w:t>
            </w:r>
            <w:r>
              <w:rPr>
                <w:rFonts w:hint="eastAsia" w:ascii="宋体" w:hAnsi="宋体" w:eastAsia="宋体" w:cs="宋体"/>
                <w:color w:val="auto"/>
                <w:kern w:val="0"/>
                <w:sz w:val="21"/>
                <w:szCs w:val="21"/>
              </w:rPr>
              <w:t>64-17-5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876" w:type="dxa"/>
            <w:gridSpan w:val="2"/>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6976" w:type="dxa"/>
            <w:gridSpan w:val="11"/>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无色液体，有酒香。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876" w:type="dxa"/>
            <w:gridSpan w:val="2"/>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主要用途</w:t>
            </w:r>
          </w:p>
        </w:tc>
        <w:tc>
          <w:tcPr>
            <w:tcW w:w="6976" w:type="dxa"/>
            <w:gridSpan w:val="11"/>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用于制酒工业、有机合成、消毒以及用作溶剂。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077"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105" w:firstLineChars="5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-114.1</w:t>
            </w:r>
          </w:p>
        </w:tc>
        <w:tc>
          <w:tcPr>
            <w:tcW w:w="1937" w:type="dxa"/>
            <w:gridSpan w:val="4"/>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256"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0.79</w:t>
            </w:r>
          </w:p>
        </w:tc>
        <w:tc>
          <w:tcPr>
            <w:tcW w:w="1904"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相对密度(空气=1)</w:t>
            </w:r>
          </w:p>
        </w:tc>
        <w:tc>
          <w:tcPr>
            <w:tcW w:w="13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1.59</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3014" w:type="dxa"/>
            <w:gridSpan w:val="6"/>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78.3</w:t>
            </w:r>
          </w:p>
        </w:tc>
        <w:tc>
          <w:tcPr>
            <w:tcW w:w="2385" w:type="dxa"/>
            <w:gridSpan w:val="4"/>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17" w:leftChars="7"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2078"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17" w:leftChars="7" w:right="0" w:firstLine="210" w:firstLineChars="10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5.8(20℃)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590"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424"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15" w:firstLineChars="15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243.1</w:t>
            </w:r>
          </w:p>
        </w:tc>
        <w:tc>
          <w:tcPr>
            <w:tcW w:w="3160" w:type="dxa"/>
            <w:gridSpan w:val="5"/>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1303"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420" w:firstLineChars="20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6.38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与水混溶，可混溶于醚、氯仿、甘油、等多数有机溶剂。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毒性及健康危害</w:t>
            </w:r>
          </w:p>
        </w:tc>
        <w:tc>
          <w:tcPr>
            <w:tcW w:w="1375"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侵入途径</w:t>
            </w:r>
          </w:p>
        </w:tc>
        <w:tc>
          <w:tcPr>
            <w:tcW w:w="7477" w:type="dxa"/>
            <w:gridSpan w:val="12"/>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1375"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477" w:type="dxa"/>
            <w:gridSpan w:val="12"/>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易燃液体,类别2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7"/>
                <w:rFonts w:hint="eastAsia" w:ascii="宋体" w:hAnsi="宋体" w:eastAsia="宋体" w:cs="宋体"/>
                <w:color w:val="auto"/>
                <w:kern w:val="2"/>
                <w:sz w:val="21"/>
                <w:szCs w:val="21"/>
              </w:rPr>
              <w:t>大鼠经口LD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:7060；</w:t>
            </w:r>
            <w:r>
              <w:rPr>
                <w:rStyle w:val="247"/>
                <w:rFonts w:hint="eastAsia" w:ascii="宋体" w:hAnsi="宋体" w:eastAsia="宋体" w:cs="宋体"/>
                <w:color w:val="auto"/>
                <w:kern w:val="2"/>
                <w:sz w:val="21"/>
                <w:szCs w:val="21"/>
              </w:rPr>
              <w:t>小鼠经口LD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:3450；</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7"/>
                <w:rFonts w:hint="eastAsia" w:ascii="宋体" w:hAnsi="宋体" w:eastAsia="宋体" w:cs="宋体"/>
                <w:color w:val="auto"/>
                <w:kern w:val="2"/>
                <w:sz w:val="21"/>
                <w:szCs w:val="21"/>
              </w:rPr>
              <w:t>兔经口LD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:6300；</w:t>
            </w:r>
            <w:r>
              <w:rPr>
                <w:rStyle w:val="247"/>
                <w:rFonts w:hint="eastAsia" w:ascii="宋体" w:hAnsi="宋体" w:eastAsia="宋体" w:cs="宋体"/>
                <w:color w:val="auto"/>
                <w:kern w:val="2"/>
                <w:sz w:val="21"/>
                <w:szCs w:val="21"/>
              </w:rPr>
              <w:t>兔经皮LD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:7430；</w:t>
            </w:r>
          </w:p>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大鼠吸入LC</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(mg/m</w:t>
            </w:r>
            <w:r>
              <w:rPr>
                <w:rStyle w:val="247"/>
                <w:rFonts w:hint="eastAsia" w:ascii="宋体" w:hAnsi="宋体" w:eastAsia="宋体" w:cs="宋体"/>
                <w:color w:val="auto"/>
                <w:kern w:val="2"/>
                <w:sz w:val="21"/>
                <w:szCs w:val="21"/>
                <w:vertAlign w:val="superscript"/>
              </w:rPr>
              <w:t>3</w:t>
            </w:r>
            <w:r>
              <w:rPr>
                <w:rStyle w:val="247"/>
                <w:rFonts w:hint="eastAsia" w:ascii="宋体" w:hAnsi="宋体" w:eastAsia="宋体" w:cs="宋体"/>
                <w:color w:val="auto"/>
                <w:kern w:val="2"/>
                <w:sz w:val="21"/>
                <w:szCs w:val="21"/>
              </w:rPr>
              <w:t>)</w:t>
            </w:r>
            <w:r>
              <w:rPr>
                <w:rStyle w:val="246"/>
                <w:rFonts w:hint="eastAsia" w:ascii="宋体" w:hAnsi="宋体" w:eastAsia="宋体" w:cs="宋体"/>
                <w:color w:val="auto"/>
                <w:kern w:val="2"/>
                <w:sz w:val="21"/>
                <w:szCs w:val="21"/>
              </w:rPr>
              <w:t>:20000ppm/10h。</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477" w:type="dxa"/>
            <w:gridSpan w:val="12"/>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本品为中枢神经系统抑制剂。首先引起兴奋，随后抑制。</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急性中毒主要见于过量饮酒者，职业中毒者少见。轻度中毒和中毒早期表现为兴奋、欣快、言语增多、颜面潮红或苍白、步态不稳、轻度动作不协调、判断力障碍、语无伦次、眼球震颤，甚至昏睡。重度中毒可出现昏迷、呼吸表浅或呈潮式呼吸，并可因呼吸麻痹或循环衰竭而死亡。吸入高浓度乙醇蒸气可出现酒醉感、头昏、乏力、兴奋和轻度的眼、上呼吸道粘膜刺激等症状，但一般不引起严重中毒。</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慢性中毒长期酗酒者可见面部毛细血管扩张，皮肤营养障碍，慢性胃炎，胃溃疡，肝炎，肝硬化，肝功能衰竭，心肌损害，肌病，多发性神经病等。皮肤长期反复接触乙醇液体，可引起局部干燥、脱屑、皲裂和皮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477" w:type="dxa"/>
            <w:gridSpan w:val="12"/>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皮肤接触：脱去污染的衣着，用肥皂水和清水彻底冲洗皮肤。如有不适感，就医。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眼睛接触：提起眼睑，用流动清水或生理盐水冲洗。如有不适感，就医。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吸入：迅速脱离现场至空气新鲜处。就医。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食入：饮足量温水，催吐。就医。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477" w:type="dxa"/>
            <w:gridSpan w:val="12"/>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工程控制：生产过程密闭，全面通风。提供安全淋浴和洗眼设备。</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呼吸系统防护：一般不需要特殊防护，高浓度接触时可佩戴过滤式防毒面具(半面罩)。</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眼睛防护：一般不需特殊防护。</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身体防护：穿防静电工作服。</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手防护：戴一般作业防护手套。其他防护：工作现场严禁吸烟。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燃烧爆炸危险性</w:t>
            </w: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1840"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w:t>
            </w:r>
          </w:p>
        </w:tc>
        <w:tc>
          <w:tcPr>
            <w:tcW w:w="2724"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2913"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1840"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13</w:t>
            </w:r>
          </w:p>
        </w:tc>
        <w:tc>
          <w:tcPr>
            <w:tcW w:w="2724"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2913"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19.0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876" w:type="dxa"/>
            <w:gridSpan w:val="2"/>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自燃温度(℃)</w:t>
            </w:r>
          </w:p>
        </w:tc>
        <w:tc>
          <w:tcPr>
            <w:tcW w:w="1339"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363</w:t>
            </w:r>
          </w:p>
        </w:tc>
        <w:tc>
          <w:tcPr>
            <w:tcW w:w="2724"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2913"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3.3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易燃，其蒸气与空气可形成爆炸性混合物，遇明火、高热能引起燃烧爆炸。与氧化剂接触发生化学反应或引起燃烧。在火场中，受热的容器有爆炸危险。蒸气比空气重，沿地面扩散并易积存于低洼处，遇火源会着火回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包装类别：Ⅱ类包装包装标志：易燃液体包装方法：小开口钢桶；小开口铝桶；安瓿瓶外普通木箱；螺纹口玻璃瓶、铁盖压口玻璃瓶、塑料瓶或金属桶(罐)外普通木箱。储存于阴凉、通风的库房。远离火种、热源。库温不宜超过37℃，保持容器密封。应与氧化剂、酸类、碱金属、胺类等分开存放，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禁忌物</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强氧化剂、酸类、酸酐、碱金属、胺类。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用抗溶性泡沫、干粉、二氧化碳、砂土灭火。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8"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477"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spacing w:val="-4"/>
                <w:kern w:val="0"/>
                <w:sz w:val="21"/>
                <w:szCs w:val="21"/>
              </w:rPr>
            </w:pPr>
            <w:r>
              <w:rPr>
                <w:rStyle w:val="246"/>
                <w:rFonts w:hint="eastAsia" w:ascii="宋体" w:hAnsi="宋体" w:eastAsia="宋体" w:cs="宋体"/>
                <w:color w:val="auto"/>
                <w:spacing w:val="-4"/>
                <w:kern w:val="2"/>
                <w:sz w:val="21"/>
                <w:szCs w:val="21"/>
              </w:rPr>
              <w:t>消除所有点火源。根据液体流动和蒸气扩散的影响区域划定警戒区，无关人员从侧风、上风向撤离至安全区。建议应急处理人员戴正压自给式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抗溶性泡沫覆盖，减少蒸发。喷水雾能减少蒸发，但不能降低泄漏物在受限制空间内的易燃性。用防爆泵转移至槽车或专用收集器内。喷雾状水驱散蒸气、稀释液体泄漏物。</w:t>
            </w:r>
          </w:p>
        </w:tc>
      </w:tr>
    </w:tbl>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4 2-丙醇</w:t>
      </w:r>
      <w:r>
        <w:rPr>
          <w:rFonts w:hint="eastAsia" w:ascii="宋体" w:hAnsi="宋体" w:eastAsia="宋体"/>
          <w:b/>
          <w:color w:val="auto"/>
          <w:lang w:eastAsia="zh-CN"/>
        </w:rPr>
        <w:t>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44"/>
        <w:gridCol w:w="1370"/>
        <w:gridCol w:w="1139"/>
        <w:gridCol w:w="514"/>
        <w:gridCol w:w="247"/>
        <w:gridCol w:w="202"/>
        <w:gridCol w:w="957"/>
        <w:gridCol w:w="1231"/>
        <w:gridCol w:w="390"/>
        <w:gridCol w:w="752"/>
        <w:gridCol w:w="768"/>
        <w:gridCol w:w="128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6050" w:type="dxa"/>
            <w:gridSpan w:val="8"/>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102" w:firstLineChars="49"/>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中文名：</w:t>
            </w:r>
            <w:r>
              <w:rPr>
                <w:rFonts w:hint="eastAsia" w:ascii="宋体" w:hAnsi="宋体" w:eastAsia="宋体" w:cs="宋体"/>
                <w:bCs/>
                <w:color w:val="auto"/>
                <w:kern w:val="0"/>
                <w:sz w:val="21"/>
                <w:szCs w:val="21"/>
              </w:rPr>
              <w:t>异丙醇；2-丙醇；二甲基甲醇</w:t>
            </w:r>
          </w:p>
        </w:tc>
        <w:tc>
          <w:tcPr>
            <w:tcW w:w="2806" w:type="dxa"/>
            <w:gridSpan w:val="3"/>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危险化学品目录序号：111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6050" w:type="dxa"/>
            <w:gridSpan w:val="8"/>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r>
              <w:rPr>
                <w:rFonts w:hint="eastAsia" w:ascii="宋体" w:hAnsi="宋体" w:eastAsia="宋体" w:cs="宋体"/>
                <w:color w:val="auto"/>
                <w:kern w:val="0"/>
                <w:sz w:val="21"/>
                <w:szCs w:val="21"/>
              </w:rPr>
              <w:t>2-Propanol；Isopropylalcohol</w:t>
            </w:r>
          </w:p>
        </w:tc>
        <w:tc>
          <w:tcPr>
            <w:tcW w:w="2806" w:type="dxa"/>
            <w:gridSpan w:val="3"/>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UN编号：</w:t>
            </w:r>
            <w:r>
              <w:rPr>
                <w:rFonts w:hint="eastAsia" w:ascii="宋体" w:hAnsi="宋体" w:eastAsia="宋体" w:cs="宋体"/>
                <w:color w:val="auto"/>
                <w:kern w:val="0"/>
                <w:sz w:val="21"/>
                <w:szCs w:val="21"/>
              </w:rPr>
              <w:t>1219</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3472"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840" w:right="0" w:hanging="840" w:hangingChars="4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分子式：</w:t>
            </w:r>
            <w:r>
              <w:rPr>
                <w:rFonts w:hint="eastAsia" w:ascii="宋体" w:hAnsi="宋体" w:eastAsia="宋体" w:cs="宋体"/>
                <w:color w:val="auto"/>
                <w:kern w:val="0"/>
                <w:sz w:val="21"/>
                <w:szCs w:val="21"/>
              </w:rPr>
              <w:t>C</w:t>
            </w:r>
            <w:r>
              <w:rPr>
                <w:rFonts w:hint="eastAsia" w:ascii="宋体" w:hAnsi="宋体" w:eastAsia="宋体" w:cs="宋体"/>
                <w:color w:val="auto"/>
                <w:kern w:val="0"/>
                <w:sz w:val="21"/>
                <w:szCs w:val="21"/>
                <w:vertAlign w:val="subscript"/>
              </w:rPr>
              <w:t>3</w:t>
            </w:r>
            <w:r>
              <w:rPr>
                <w:rFonts w:hint="eastAsia" w:ascii="宋体" w:hAnsi="宋体" w:eastAsia="宋体" w:cs="宋体"/>
                <w:color w:val="auto"/>
                <w:kern w:val="0"/>
                <w:sz w:val="21"/>
                <w:szCs w:val="21"/>
              </w:rPr>
              <w:t>H</w:t>
            </w:r>
            <w:r>
              <w:rPr>
                <w:rFonts w:hint="eastAsia" w:ascii="宋体" w:hAnsi="宋体" w:eastAsia="宋体" w:cs="宋体"/>
                <w:color w:val="auto"/>
                <w:kern w:val="0"/>
                <w:sz w:val="21"/>
                <w:szCs w:val="21"/>
                <w:vertAlign w:val="subscript"/>
              </w:rPr>
              <w:t>8</w:t>
            </w:r>
            <w:r>
              <w:rPr>
                <w:rFonts w:hint="eastAsia" w:ascii="宋体" w:hAnsi="宋体" w:eastAsia="宋体" w:cs="宋体"/>
                <w:color w:val="auto"/>
                <w:kern w:val="0"/>
                <w:sz w:val="21"/>
                <w:szCs w:val="21"/>
              </w:rPr>
              <w:t>O</w:t>
            </w:r>
          </w:p>
        </w:tc>
        <w:tc>
          <w:tcPr>
            <w:tcW w:w="2578"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分子量：</w:t>
            </w:r>
            <w:r>
              <w:rPr>
                <w:rFonts w:hint="eastAsia" w:ascii="宋体" w:hAnsi="宋体" w:eastAsia="宋体" w:cs="宋体"/>
                <w:color w:val="auto"/>
                <w:kern w:val="0"/>
                <w:sz w:val="21"/>
                <w:szCs w:val="21"/>
              </w:rPr>
              <w:t>60.1</w:t>
            </w:r>
          </w:p>
        </w:tc>
        <w:tc>
          <w:tcPr>
            <w:tcW w:w="280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w:t>
            </w:r>
            <w:r>
              <w:rPr>
                <w:rFonts w:hint="eastAsia" w:ascii="宋体" w:hAnsi="宋体" w:eastAsia="宋体" w:cs="宋体"/>
                <w:color w:val="auto"/>
                <w:kern w:val="0"/>
                <w:sz w:val="21"/>
                <w:szCs w:val="21"/>
              </w:rPr>
              <w:t>67-63-0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37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7486"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无色透明液体，有似乙醇和丙酮混合物的气味。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主要用途</w:t>
            </w:r>
          </w:p>
        </w:tc>
        <w:tc>
          <w:tcPr>
            <w:tcW w:w="7486"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是重要的化工产品和原料。主要用于制药、化妆品、塑料、香料、涂料等。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139"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105" w:firstLineChars="5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-88.5</w:t>
            </w:r>
          </w:p>
        </w:tc>
        <w:tc>
          <w:tcPr>
            <w:tcW w:w="1920" w:type="dxa"/>
            <w:gridSpan w:val="4"/>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231"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0.79</w:t>
            </w:r>
          </w:p>
        </w:tc>
        <w:tc>
          <w:tcPr>
            <w:tcW w:w="191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相对密度(空气=1)</w:t>
            </w:r>
          </w:p>
        </w:tc>
        <w:tc>
          <w:tcPr>
            <w:tcW w:w="128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2.1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3059" w:type="dxa"/>
            <w:gridSpan w:val="5"/>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82.5</w:t>
            </w:r>
          </w:p>
        </w:tc>
        <w:tc>
          <w:tcPr>
            <w:tcW w:w="2373"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17" w:leftChars="7"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2054"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17" w:leftChars="7" w:right="0" w:firstLine="210" w:firstLineChars="10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4.40／20℃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653"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406"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15" w:firstLineChars="15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235</w:t>
            </w:r>
          </w:p>
        </w:tc>
        <w:tc>
          <w:tcPr>
            <w:tcW w:w="2373"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2054"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4.76</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溶于水、醇、醚、苯、氯仿、等多数有机溶剂。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性</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及</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康</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害</w:t>
            </w: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486" w:type="dxa"/>
            <w:gridSpan w:val="10"/>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7"/>
                <w:rFonts w:hint="eastAsia" w:ascii="宋体" w:hAnsi="宋体" w:eastAsia="宋体" w:cs="宋体"/>
                <w:color w:val="auto"/>
                <w:kern w:val="2"/>
                <w:sz w:val="21"/>
                <w:szCs w:val="21"/>
              </w:rPr>
              <w:t>大鼠经口LD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:5000；</w:t>
            </w:r>
            <w:r>
              <w:rPr>
                <w:rStyle w:val="247"/>
                <w:rFonts w:hint="eastAsia" w:ascii="宋体" w:hAnsi="宋体" w:eastAsia="宋体" w:cs="宋体"/>
                <w:color w:val="auto"/>
                <w:kern w:val="2"/>
                <w:sz w:val="21"/>
                <w:szCs w:val="21"/>
              </w:rPr>
              <w:t>小鼠经口LD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:3600；</w:t>
            </w:r>
          </w:p>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7"/>
                <w:rFonts w:hint="eastAsia" w:ascii="宋体" w:hAnsi="宋体" w:eastAsia="宋体" w:cs="宋体"/>
                <w:color w:val="auto"/>
                <w:kern w:val="2"/>
                <w:sz w:val="21"/>
                <w:szCs w:val="21"/>
              </w:rPr>
              <w:t>兔经口LD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:6410；</w:t>
            </w:r>
            <w:r>
              <w:rPr>
                <w:rStyle w:val="247"/>
                <w:rFonts w:hint="eastAsia" w:ascii="宋体" w:hAnsi="宋体" w:eastAsia="宋体" w:cs="宋体"/>
                <w:color w:val="auto"/>
                <w:kern w:val="2"/>
                <w:sz w:val="21"/>
                <w:szCs w:val="21"/>
              </w:rPr>
              <w:t>兔经皮LD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:12800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486" w:type="dxa"/>
            <w:gridSpan w:val="10"/>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易燃液体,类别2；严重眼损伤/眼刺激,类别2；</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特异性靶器官毒性-一次接触,类别3(麻醉效应)</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侵入途径</w:t>
            </w:r>
          </w:p>
        </w:tc>
        <w:tc>
          <w:tcPr>
            <w:tcW w:w="7486" w:type="dxa"/>
            <w:gridSpan w:val="10"/>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486" w:type="dxa"/>
            <w:gridSpan w:val="10"/>
            <w:tcBorders>
              <w:top w:val="single" w:color="auto" w:sz="6" w:space="0"/>
              <w:left w:val="single" w:color="auto" w:sz="6" w:space="0"/>
              <w:bottom w:val="single" w:color="auto" w:sz="4"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接触高浓度蒸气出现头痛、倦睡、共济失调以及眼、鼻、喉刺激症状。口服可致恶心、呕吐、腹痛、腹泻、倦睡、昏迷甚至死亡。长期皮肤接触可致皮肤干燥、皲裂。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486"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皮肤接触：脱去污染的衣着，用肥皂水和清水彻底冲洗皮肤。如有不适感，就医。眼睛接触：提起眼睑，用流动清水或生理盐水冲洗。如有不适感，就医。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吸入：迅速脱离现场至空气新鲜处。保持呼吸道通畅。如呼吸困难，给输氧。呼吸、心跳停止，立即进行心肺复苏术。就医。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入：饮水，禁止催吐。如有不适感，就医。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486"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工程控制：生产过程密闭，全面通风。提供安全淋浴和洗眼设备。</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呼吸系统防护：一般不需要特殊防护，高浓度接触时可佩戴过滤式防毒面具(半面罩)。眼睛防护：一般不需要特殊防护，高浓度接触时可戴安全防护眼镜。</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身体防护：穿防静电工作服。手防护：戴橡胶手套。</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其他防护：工作现场严禁吸烟。保持良好的卫生习惯。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烧</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炸</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险</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性</w:t>
            </w: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190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w:t>
            </w:r>
          </w:p>
        </w:tc>
        <w:tc>
          <w:tcPr>
            <w:tcW w:w="239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3196"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一氧化碳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190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11.7</w:t>
            </w:r>
          </w:p>
        </w:tc>
        <w:tc>
          <w:tcPr>
            <w:tcW w:w="239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3196"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12.7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自燃温度(℃)</w:t>
            </w:r>
          </w:p>
        </w:tc>
        <w:tc>
          <w:tcPr>
            <w:tcW w:w="1900"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456</w:t>
            </w:r>
          </w:p>
        </w:tc>
        <w:tc>
          <w:tcPr>
            <w:tcW w:w="239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3196"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2.0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易燃，其蒸气与空气可形成爆炸性混合物，遇明火、高热能引起燃烧爆炸。与氧化剂接触猛烈反应。在火场中，受热的容器有爆炸危险。蒸气比空气重，沿地面扩散并易积存于低洼处，遇火源会着火回燃。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包装类别：</w:t>
            </w:r>
            <w:r>
              <w:rPr>
                <w:rStyle w:val="246"/>
                <w:rFonts w:hint="eastAsia" w:ascii="宋体" w:hAnsi="宋体" w:eastAsia="宋体" w:cs="宋体"/>
                <w:color w:val="auto"/>
                <w:kern w:val="2"/>
                <w:sz w:val="21"/>
                <w:szCs w:val="21"/>
              </w:rPr>
              <w:t>Ⅱ类包装</w:t>
            </w:r>
            <w:r>
              <w:rPr>
                <w:rStyle w:val="247"/>
                <w:rFonts w:hint="eastAsia" w:ascii="宋体" w:hAnsi="宋体" w:eastAsia="宋体" w:cs="宋体"/>
                <w:color w:val="auto"/>
                <w:kern w:val="2"/>
                <w:sz w:val="21"/>
                <w:szCs w:val="21"/>
              </w:rPr>
              <w:t>包装标志：</w:t>
            </w:r>
            <w:r>
              <w:rPr>
                <w:rStyle w:val="246"/>
                <w:rFonts w:hint="eastAsia" w:ascii="宋体" w:hAnsi="宋体" w:eastAsia="宋体" w:cs="宋体"/>
                <w:color w:val="auto"/>
                <w:kern w:val="2"/>
                <w:sz w:val="21"/>
                <w:szCs w:val="21"/>
              </w:rPr>
              <w:t>易燃液体；有毒品</w:t>
            </w:r>
            <w:r>
              <w:rPr>
                <w:rStyle w:val="247"/>
                <w:rFonts w:hint="eastAsia" w:ascii="宋体" w:hAnsi="宋体" w:eastAsia="宋体" w:cs="宋体"/>
                <w:color w:val="auto"/>
                <w:kern w:val="2"/>
                <w:sz w:val="21"/>
                <w:szCs w:val="21"/>
              </w:rPr>
              <w:t>包装方法：</w:t>
            </w:r>
            <w:r>
              <w:rPr>
                <w:rStyle w:val="246"/>
                <w:rFonts w:hint="eastAsia" w:ascii="宋体" w:hAnsi="宋体" w:eastAsia="宋体" w:cs="宋体"/>
                <w:color w:val="auto"/>
                <w:kern w:val="2"/>
                <w:sz w:val="21"/>
                <w:szCs w:val="21"/>
              </w:rPr>
              <w:t>小开口钢桶；安瓿瓶外普通木箱；螺纹口玻璃瓶、铁盖压口玻璃瓶、塑料瓶或金属桶(罐)外普通木箱；螺纹口玻璃瓶、塑料瓶或镀锡薄钢板桶(罐)外满底板花格箱、纤维板箱或胶合板箱。储存于阴凉、通风的库房。远离火种、热源。库温不宜超过37℃，保持容器密封。应与氧化剂、酸类、卤素等分开存放，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禁忌物</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强氧化剂、酸类、酸酐、卤素。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用抗溶性泡沫、干粉、二氧化碳、砂土灭火。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4"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消除所有点火源。根据液体流动和蒸气扩散的影响区域划定警戒区，无关人员从侧风、上风向撤离至安全区。建议应急处理人员戴正压自给式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抗溶性泡沫覆盖，减少蒸发。喷水雾能减少蒸发，但不能降低泄漏物在受限制空间内的易燃性。用防爆泵转移至槽车或专用收集器内。喷雾状水驱散蒸气、稀释液体泄漏物。</w:t>
            </w:r>
          </w:p>
        </w:tc>
      </w:tr>
    </w:tbl>
    <w:p>
      <w:pPr>
        <w:spacing w:line="560" w:lineRule="exact"/>
        <w:jc w:val="center"/>
        <w:rPr>
          <w:rFonts w:hint="eastAsia" w:ascii="宋体" w:hAnsi="宋体" w:eastAsia="宋体"/>
          <w:b/>
          <w:color w:val="auto"/>
          <w:lang w:eastAsia="zh-CN"/>
        </w:rPr>
      </w:pP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 xml:space="preserve">5 </w:t>
      </w:r>
      <w:r>
        <w:rPr>
          <w:rFonts w:hint="eastAsia" w:ascii="宋体" w:hAnsi="宋体" w:eastAsia="宋体"/>
          <w:b/>
          <w:color w:val="auto"/>
          <w:lang w:eastAsia="zh-CN"/>
        </w:rPr>
        <w:t>壬基酚聚氧乙烯醚理化特性表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43"/>
        <w:gridCol w:w="1357"/>
        <w:gridCol w:w="1127"/>
        <w:gridCol w:w="505"/>
        <w:gridCol w:w="242"/>
        <w:gridCol w:w="198"/>
        <w:gridCol w:w="946"/>
        <w:gridCol w:w="1046"/>
        <w:gridCol w:w="293"/>
        <w:gridCol w:w="365"/>
        <w:gridCol w:w="542"/>
        <w:gridCol w:w="204"/>
        <w:gridCol w:w="762"/>
        <w:gridCol w:w="127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6079" w:type="dxa"/>
            <w:gridSpan w:val="9"/>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102" w:firstLineChars="49"/>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中文名：壬基酚聚氧乙烯醚</w:t>
            </w:r>
          </w:p>
        </w:tc>
        <w:tc>
          <w:tcPr>
            <w:tcW w:w="2778" w:type="dxa"/>
            <w:gridSpan w:val="4"/>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危险化学品目录序号：1726</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6079" w:type="dxa"/>
            <w:gridSpan w:val="9"/>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r>
              <w:rPr>
                <w:rFonts w:hint="eastAsia" w:ascii="宋体" w:hAnsi="宋体" w:eastAsia="宋体" w:cs="宋体"/>
                <w:color w:val="auto"/>
                <w:kern w:val="0"/>
                <w:sz w:val="21"/>
                <w:szCs w:val="21"/>
              </w:rPr>
              <w:t>/</w:t>
            </w:r>
          </w:p>
        </w:tc>
        <w:tc>
          <w:tcPr>
            <w:tcW w:w="2778" w:type="dxa"/>
            <w:gridSpan w:val="4"/>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UN编号：/</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3429"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840" w:right="0" w:hanging="840" w:hangingChars="4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分子式：C</w:t>
            </w:r>
            <w:r>
              <w:rPr>
                <w:rFonts w:hint="eastAsia" w:ascii="宋体" w:hAnsi="宋体" w:eastAsia="宋体" w:cs="宋体"/>
                <w:color w:val="auto"/>
                <w:kern w:val="2"/>
                <w:sz w:val="21"/>
                <w:szCs w:val="21"/>
                <w:vertAlign w:val="subscript"/>
              </w:rPr>
              <w:t>15</w:t>
            </w:r>
            <w:r>
              <w:rPr>
                <w:rFonts w:hint="eastAsia" w:ascii="宋体" w:hAnsi="宋体" w:eastAsia="宋体" w:cs="宋体"/>
                <w:color w:val="auto"/>
                <w:kern w:val="2"/>
                <w:sz w:val="21"/>
                <w:szCs w:val="21"/>
              </w:rPr>
              <w:t>H</w:t>
            </w:r>
            <w:r>
              <w:rPr>
                <w:rFonts w:hint="eastAsia" w:ascii="宋体" w:hAnsi="宋体" w:eastAsia="宋体" w:cs="宋体"/>
                <w:color w:val="auto"/>
                <w:kern w:val="2"/>
                <w:sz w:val="21"/>
                <w:szCs w:val="21"/>
                <w:vertAlign w:val="subscript"/>
              </w:rPr>
              <w:t>24</w:t>
            </w:r>
            <w:r>
              <w:rPr>
                <w:rFonts w:hint="eastAsia" w:ascii="宋体" w:hAnsi="宋体" w:eastAsia="宋体" w:cs="宋体"/>
                <w:color w:val="auto"/>
                <w:kern w:val="2"/>
                <w:sz w:val="21"/>
                <w:szCs w:val="21"/>
              </w:rPr>
              <w:t>O﹒(C</w:t>
            </w:r>
            <w:r>
              <w:rPr>
                <w:rFonts w:hint="eastAsia" w:ascii="宋体" w:hAnsi="宋体" w:eastAsia="宋体" w:cs="宋体"/>
                <w:color w:val="auto"/>
                <w:kern w:val="2"/>
                <w:sz w:val="21"/>
                <w:szCs w:val="21"/>
                <w:vertAlign w:val="subscript"/>
              </w:rPr>
              <w:t>2</w:t>
            </w:r>
            <w:r>
              <w:rPr>
                <w:rFonts w:hint="eastAsia" w:ascii="宋体" w:hAnsi="宋体" w:eastAsia="宋体" w:cs="宋体"/>
                <w:color w:val="auto"/>
                <w:kern w:val="2"/>
                <w:sz w:val="21"/>
                <w:szCs w:val="21"/>
              </w:rPr>
              <w:t>H</w:t>
            </w:r>
            <w:r>
              <w:rPr>
                <w:rFonts w:hint="eastAsia" w:ascii="宋体" w:hAnsi="宋体" w:eastAsia="宋体" w:cs="宋体"/>
                <w:color w:val="auto"/>
                <w:kern w:val="2"/>
                <w:sz w:val="21"/>
                <w:szCs w:val="21"/>
                <w:vertAlign w:val="subscript"/>
              </w:rPr>
              <w:t>4</w:t>
            </w:r>
            <w:r>
              <w:rPr>
                <w:rFonts w:hint="eastAsia" w:ascii="宋体" w:hAnsi="宋体" w:eastAsia="宋体" w:cs="宋体"/>
                <w:color w:val="auto"/>
                <w:kern w:val="2"/>
                <w:sz w:val="21"/>
                <w:szCs w:val="21"/>
              </w:rPr>
              <w:t>O)</w:t>
            </w:r>
            <w:r>
              <w:rPr>
                <w:rFonts w:hint="eastAsia" w:ascii="宋体" w:hAnsi="宋体" w:eastAsia="宋体" w:cs="宋体"/>
                <w:color w:val="auto"/>
                <w:kern w:val="2"/>
                <w:sz w:val="21"/>
                <w:szCs w:val="21"/>
                <w:vertAlign w:val="subscript"/>
              </w:rPr>
              <w:t>n</w:t>
            </w:r>
          </w:p>
        </w:tc>
        <w:tc>
          <w:tcPr>
            <w:tcW w:w="2650"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分子量：</w:t>
            </w:r>
            <w:r>
              <w:rPr>
                <w:rFonts w:hint="eastAsia" w:ascii="宋体" w:hAnsi="宋体" w:eastAsia="宋体" w:cs="宋体"/>
                <w:color w:val="auto"/>
                <w:kern w:val="0"/>
                <w:sz w:val="21"/>
                <w:szCs w:val="21"/>
              </w:rPr>
              <w:t>/</w:t>
            </w:r>
          </w:p>
        </w:tc>
        <w:tc>
          <w:tcPr>
            <w:tcW w:w="2778"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CAS号：9016-45-9</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357"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7500" w:type="dxa"/>
            <w:gridSpan w:val="1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浅黄色软膏状物。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主要用途</w:t>
            </w:r>
          </w:p>
        </w:tc>
        <w:tc>
          <w:tcPr>
            <w:tcW w:w="7500" w:type="dxa"/>
            <w:gridSpan w:val="1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是性能良好的非离子表面活性剂，主要用于各种清洗剂，纺织工业助剂，润滑油、树脂的乳化剂等。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127"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105" w:firstLineChars="5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42～43</w:t>
            </w:r>
          </w:p>
        </w:tc>
        <w:tc>
          <w:tcPr>
            <w:tcW w:w="1891" w:type="dxa"/>
            <w:gridSpan w:val="4"/>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339"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0.96</w:t>
            </w:r>
          </w:p>
        </w:tc>
        <w:tc>
          <w:tcPr>
            <w:tcW w:w="1873"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相对密度(空气=1)</w:t>
            </w:r>
          </w:p>
        </w:tc>
        <w:tc>
          <w:tcPr>
            <w:tcW w:w="127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3018" w:type="dxa"/>
            <w:gridSpan w:val="5"/>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250</w:t>
            </w:r>
          </w:p>
        </w:tc>
        <w:tc>
          <w:tcPr>
            <w:tcW w:w="2450" w:type="dxa"/>
            <w:gridSpan w:val="5"/>
            <w:tcBorders>
              <w:top w:val="single" w:color="auto" w:sz="6" w:space="0"/>
              <w:left w:val="single" w:color="auto" w:sz="4" w:space="0"/>
              <w:bottom w:val="single" w:color="auto" w:sz="6" w:space="0"/>
              <w:right w:val="single" w:color="auto" w:sz="4" w:space="0"/>
            </w:tcBorders>
            <w:noWrap w:val="0"/>
            <w:vAlign w:val="top"/>
          </w:tcPr>
          <w:p>
            <w:pPr>
              <w:keepNext w:val="0"/>
              <w:keepLines w:val="0"/>
              <w:suppressLineNumbers w:val="0"/>
              <w:spacing w:before="0" w:beforeAutospacing="0" w:after="0" w:afterAutospacing="0" w:line="240" w:lineRule="auto"/>
              <w:ind w:left="17" w:leftChars="7"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2032" w:type="dxa"/>
            <w:gridSpan w:val="2"/>
            <w:tcBorders>
              <w:top w:val="single" w:color="auto" w:sz="6" w:space="0"/>
              <w:left w:val="single" w:color="auto" w:sz="4" w:space="0"/>
              <w:bottom w:val="single" w:color="auto" w:sz="6" w:space="0"/>
              <w:right w:val="single" w:color="auto" w:sz="6" w:space="0"/>
            </w:tcBorders>
            <w:noWrap w:val="0"/>
            <w:vAlign w:val="top"/>
          </w:tcPr>
          <w:p>
            <w:pPr>
              <w:keepNext w:val="0"/>
              <w:keepLines w:val="0"/>
              <w:suppressLineNumbers w:val="0"/>
              <w:spacing w:before="0" w:beforeAutospacing="0" w:after="0" w:afterAutospacing="0" w:line="240" w:lineRule="auto"/>
              <w:ind w:left="17" w:leftChars="7" w:right="0" w:firstLine="210" w:firstLineChars="10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632"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386"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15" w:firstLineChars="15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w:t>
            </w:r>
          </w:p>
        </w:tc>
        <w:tc>
          <w:tcPr>
            <w:tcW w:w="3212" w:type="dxa"/>
            <w:gridSpan w:val="6"/>
            <w:tcBorders>
              <w:top w:val="single" w:color="auto" w:sz="6" w:space="0"/>
              <w:left w:val="single" w:color="auto" w:sz="4" w:space="0"/>
              <w:bottom w:val="single" w:color="auto" w:sz="6" w:space="0"/>
              <w:right w:val="single" w:color="auto" w:sz="4" w:space="0"/>
            </w:tcBorders>
            <w:noWrap w:val="0"/>
            <w:vAlign w:val="top"/>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1270" w:type="dxa"/>
            <w:tcBorders>
              <w:top w:val="single" w:color="auto" w:sz="6" w:space="0"/>
              <w:left w:val="single" w:color="auto" w:sz="4" w:space="0"/>
              <w:bottom w:val="single" w:color="auto" w:sz="6" w:space="0"/>
              <w:right w:val="single" w:color="auto" w:sz="6" w:space="0"/>
            </w:tcBorders>
            <w:noWrap w:val="0"/>
            <w:vAlign w:val="top"/>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500"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可溶于水。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性</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及</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康</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害</w:t>
            </w: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500" w:type="dxa"/>
            <w:gridSpan w:val="12"/>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LD</w:t>
            </w:r>
            <w:r>
              <w:rPr>
                <w:rFonts w:hint="eastAsia" w:ascii="宋体" w:hAnsi="宋体" w:eastAsia="宋体" w:cs="宋体"/>
                <w:color w:val="auto"/>
                <w:kern w:val="2"/>
                <w:sz w:val="21"/>
                <w:szCs w:val="21"/>
                <w:vertAlign w:val="subscript"/>
              </w:rPr>
              <w:t>50</w:t>
            </w:r>
            <w:r>
              <w:rPr>
                <w:rFonts w:hint="eastAsia" w:ascii="宋体" w:hAnsi="宋体" w:eastAsia="宋体" w:cs="宋体"/>
                <w:color w:val="auto"/>
                <w:kern w:val="2"/>
                <w:sz w:val="21"/>
                <w:szCs w:val="21"/>
              </w:rPr>
              <w:t>:1310mg/kg(小鼠食入)；LC</w:t>
            </w:r>
            <w:r>
              <w:rPr>
                <w:rFonts w:hint="eastAsia" w:ascii="宋体" w:hAnsi="宋体" w:eastAsia="宋体" w:cs="宋体"/>
                <w:color w:val="auto"/>
                <w:kern w:val="2"/>
                <w:sz w:val="21"/>
                <w:szCs w:val="21"/>
                <w:vertAlign w:val="subscript"/>
              </w:rPr>
              <w:t>50</w:t>
            </w:r>
            <w:r>
              <w:rPr>
                <w:rFonts w:hint="eastAsia" w:ascii="宋体" w:hAnsi="宋体" w:eastAsia="宋体" w:cs="宋体"/>
                <w:color w:val="auto"/>
                <w:kern w:val="2"/>
                <w:sz w:val="21"/>
                <w:szCs w:val="21"/>
              </w:rPr>
              <w:t>:16.4mg/L/48hr(孔雀魚)。</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500" w:type="dxa"/>
            <w:gridSpan w:val="12"/>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皮肤腐蚀/刺激,类别2；严重眼损伤/眼刺激,类别2A；生殖毒性,类别2；特异性靶器官毒性-反复接触,类别2；危害水生环境-急性危害,类别1；</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危害水生环境-长期危害,类别1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侵入途径</w:t>
            </w:r>
          </w:p>
        </w:tc>
        <w:tc>
          <w:tcPr>
            <w:tcW w:w="7500" w:type="dxa"/>
            <w:gridSpan w:val="12"/>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500" w:type="dxa"/>
            <w:gridSpan w:val="12"/>
            <w:tcBorders>
              <w:top w:val="single" w:color="auto" w:sz="6" w:space="0"/>
              <w:left w:val="single" w:color="auto" w:sz="6" w:space="0"/>
              <w:bottom w:val="single" w:color="auto" w:sz="4"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接触高浓度蒸气出现头痛、倦睡、共济失调以及眼、鼻、喉刺激症状。口服可致恶心、呕吐、腹痛、腹泻、倦睡、昏迷甚至死亡。长期皮肤接触可致皮肤干燥、皲裂。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500" w:type="dxa"/>
            <w:gridSpan w:val="12"/>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皮肤接触：脱去污染的衣着，用肥皂水和清水彻底冲洗皮肤。如有不适感，就医。眼睛接触：提起眼睑，用流动清水或生理盐水冲洗。如有不适感，就医。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吸入：迅速脱离现场至空气新鲜处。保持呼吸道通畅。如呼吸困难，给输氧。呼吸、心跳停止，立即进行心肺复苏术。就医。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入：饮水，禁止催吐。如有不适感，就医。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500" w:type="dxa"/>
            <w:gridSpan w:val="12"/>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工程控制：生产过程密闭，全面通风。提供安全淋浴和洗眼设备。</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呼吸系统防护：一般不需要特殊防护，高浓度接触时可佩戴过滤式防毒面具(半面罩)。眼睛防护：一般不需要特殊防护，高浓度接触时可戴安全防护眼镜。</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身体防护：穿防静电工作服。手防护：戴橡胶手套。</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其他防护：工作现场严禁吸烟。保持良好的卫生习惯。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烧</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炸</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险</w:t>
            </w:r>
          </w:p>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性</w:t>
            </w: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1874"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可燃</w:t>
            </w:r>
          </w:p>
        </w:tc>
        <w:tc>
          <w:tcPr>
            <w:tcW w:w="219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3436"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一氧化碳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1874"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34" w:right="0" w:hanging="33" w:hangingChars="16"/>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&gt;250</w:t>
            </w:r>
          </w:p>
        </w:tc>
        <w:tc>
          <w:tcPr>
            <w:tcW w:w="3390"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223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20"/>
                <w:kern w:val="2"/>
                <w:sz w:val="21"/>
                <w:szCs w:val="21"/>
              </w:rPr>
            </w:pPr>
            <w:r>
              <w:rPr>
                <w:rFonts w:hint="eastAsia" w:ascii="宋体" w:hAnsi="宋体" w:eastAsia="宋体" w:cs="宋体"/>
                <w:color w:val="auto"/>
                <w:spacing w:val="-20"/>
                <w:kern w:val="2"/>
                <w:sz w:val="21"/>
                <w:szCs w:val="21"/>
              </w:rPr>
              <w:t>自燃温度(℃)</w:t>
            </w:r>
          </w:p>
        </w:tc>
        <w:tc>
          <w:tcPr>
            <w:tcW w:w="1874"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456</w:t>
            </w:r>
          </w:p>
        </w:tc>
        <w:tc>
          <w:tcPr>
            <w:tcW w:w="3390"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223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500"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可燃，</w:t>
            </w:r>
            <w:r>
              <w:rPr>
                <w:rFonts w:hint="eastAsia" w:ascii="宋体" w:hAnsi="宋体" w:eastAsia="宋体" w:cs="宋体"/>
                <w:color w:val="auto"/>
                <w:kern w:val="2"/>
                <w:sz w:val="21"/>
                <w:szCs w:val="21"/>
              </w:rPr>
              <w:t>燃烧过程会释放一氧化碳。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500"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储存于阴凉、通风的库房。储存容器必须盖盖，且保持竖直，不要使其渗入到地面。远离火种、热源。应与氧化剂、酸类等分开存放，切忌混储。配备相应品种和数量的消防器材。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禁忌物</w:t>
            </w:r>
          </w:p>
        </w:tc>
        <w:tc>
          <w:tcPr>
            <w:tcW w:w="7500"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500"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用抗溶性泡沫、干粉、二氧化碳、砂土灭火。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3"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5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500" w:type="dxa"/>
            <w:gridSpan w:val="12"/>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spacing w:val="-10"/>
                <w:kern w:val="0"/>
                <w:sz w:val="21"/>
                <w:szCs w:val="21"/>
              </w:rPr>
            </w:pPr>
            <w:r>
              <w:rPr>
                <w:rFonts w:hint="eastAsia" w:ascii="宋体" w:hAnsi="宋体" w:eastAsia="宋体" w:cs="宋体"/>
                <w:color w:val="auto"/>
                <w:kern w:val="2"/>
                <w:sz w:val="21"/>
                <w:szCs w:val="21"/>
              </w:rPr>
              <w:t>迅速撤离泄漏污染区人员至安全区，并进行隔离，严格限制出入。切断火源。建议应急处理人员戴自给正压式呼吸器，穿防毒服、防滑鞋。尽可能切断泄漏源。防止流入下水道、排洪沟等限制性空间。小量泄漏：用砂土、蛭石或其它惰性材料吸收。也可以用大量水冲洗，洗水稀释后放入废水系统。大量泄漏：构筑围堤或挖坑收容。用泵转移至槽车或专用收集器内，回收或运至废物处理场所处置。</w:t>
            </w:r>
          </w:p>
        </w:tc>
      </w:tr>
    </w:tbl>
    <w:p>
      <w:pPr>
        <w:spacing w:line="560" w:lineRule="exact"/>
        <w:jc w:val="center"/>
        <w:rPr>
          <w:rFonts w:hint="eastAsia" w:ascii="宋体" w:hAnsi="宋体" w:eastAsia="宋体"/>
          <w:b/>
          <w:color w:val="auto"/>
          <w:lang w:eastAsia="zh-CN"/>
        </w:rPr>
      </w:pP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 xml:space="preserve">6 </w:t>
      </w:r>
      <w:r>
        <w:rPr>
          <w:rFonts w:hint="eastAsia" w:ascii="宋体" w:hAnsi="宋体" w:eastAsia="宋体"/>
          <w:b/>
          <w:color w:val="auto"/>
          <w:lang w:eastAsia="zh-CN"/>
        </w:rPr>
        <w:t>快干助焊剂理化特性表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49"/>
        <w:gridCol w:w="1365"/>
        <w:gridCol w:w="1034"/>
        <w:gridCol w:w="514"/>
        <w:gridCol w:w="244"/>
        <w:gridCol w:w="199"/>
        <w:gridCol w:w="958"/>
        <w:gridCol w:w="1260"/>
        <w:gridCol w:w="391"/>
        <w:gridCol w:w="731"/>
        <w:gridCol w:w="518"/>
        <w:gridCol w:w="1637"/>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标识</w:t>
            </w:r>
          </w:p>
        </w:tc>
        <w:tc>
          <w:tcPr>
            <w:tcW w:w="5965" w:type="dxa"/>
            <w:gridSpan w:val="8"/>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spacing w:val="10"/>
                <w:kern w:val="2"/>
                <w:sz w:val="21"/>
                <w:szCs w:val="21"/>
              </w:rPr>
              <w:t>中文名：</w:t>
            </w:r>
            <w:r>
              <w:rPr>
                <w:rFonts w:hint="eastAsia" w:ascii="宋体" w:hAnsi="宋体" w:eastAsia="宋体" w:cs="宋体"/>
                <w:color w:val="auto"/>
                <w:kern w:val="0"/>
                <w:sz w:val="21"/>
                <w:szCs w:val="21"/>
              </w:rPr>
              <w:t>快干助焊剂</w:t>
            </w:r>
          </w:p>
        </w:tc>
        <w:tc>
          <w:tcPr>
            <w:tcW w:w="2886" w:type="dxa"/>
            <w:gridSpan w:val="3"/>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危险化学品目录序号</w:t>
            </w:r>
            <w:r>
              <w:rPr>
                <w:rFonts w:hint="eastAsia" w:ascii="宋体" w:hAnsi="宋体" w:eastAsia="宋体" w:cs="宋体"/>
                <w:color w:val="auto"/>
                <w:spacing w:val="10"/>
                <w:kern w:val="2"/>
                <w:sz w:val="21"/>
                <w:szCs w:val="21"/>
              </w:rPr>
              <w:t>：2828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p>
        </w:tc>
        <w:tc>
          <w:tcPr>
            <w:tcW w:w="5965" w:type="dxa"/>
            <w:gridSpan w:val="8"/>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英文名：</w:t>
            </w:r>
            <w:r>
              <w:rPr>
                <w:rFonts w:hint="eastAsia" w:ascii="宋体" w:hAnsi="宋体" w:eastAsia="宋体" w:cs="宋体"/>
                <w:color w:val="auto"/>
                <w:kern w:val="0"/>
                <w:sz w:val="21"/>
                <w:szCs w:val="21"/>
              </w:rPr>
              <w:t>/r</w:t>
            </w:r>
          </w:p>
        </w:tc>
        <w:tc>
          <w:tcPr>
            <w:tcW w:w="2886" w:type="dxa"/>
            <w:gridSpan w:val="3"/>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spacing w:val="10"/>
                <w:kern w:val="2"/>
                <w:sz w:val="21"/>
                <w:szCs w:val="21"/>
              </w:rPr>
              <w:t>UN编号：</w:t>
            </w:r>
            <w:r>
              <w:rPr>
                <w:rFonts w:hint="eastAsia" w:ascii="宋体" w:hAnsi="宋体" w:eastAsia="宋体" w:cs="宋体"/>
                <w:color w:val="auto"/>
                <w:kern w:val="0"/>
                <w:sz w:val="21"/>
                <w:szCs w:val="21"/>
              </w:rPr>
              <w:t>1139、1263、1293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3356"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920" w:right="0" w:hanging="920" w:hangingChars="40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分子式：</w:t>
            </w:r>
            <w:r>
              <w:rPr>
                <w:rFonts w:hint="eastAsia" w:ascii="宋体" w:hAnsi="宋体" w:eastAsia="宋体" w:cs="宋体"/>
                <w:color w:val="auto"/>
                <w:kern w:val="0"/>
                <w:sz w:val="21"/>
                <w:szCs w:val="21"/>
              </w:rPr>
              <w:t>/</w:t>
            </w:r>
          </w:p>
        </w:tc>
        <w:tc>
          <w:tcPr>
            <w:tcW w:w="260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spacing w:val="10"/>
                <w:kern w:val="2"/>
                <w:sz w:val="21"/>
                <w:szCs w:val="21"/>
              </w:rPr>
              <w:t>分子量：/</w:t>
            </w:r>
          </w:p>
        </w:tc>
        <w:tc>
          <w:tcPr>
            <w:tcW w:w="288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CAS号：</w:t>
            </w: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理化性质</w:t>
            </w:r>
          </w:p>
        </w:tc>
        <w:tc>
          <w:tcPr>
            <w:tcW w:w="136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外观与性状</w:t>
            </w:r>
          </w:p>
        </w:tc>
        <w:tc>
          <w:tcPr>
            <w:tcW w:w="7486"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无色透明液体。</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主要用途</w:t>
            </w:r>
          </w:p>
        </w:tc>
        <w:tc>
          <w:tcPr>
            <w:tcW w:w="7486"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用于焊接。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熔点(℃)</w:t>
            </w:r>
          </w:p>
        </w:tc>
        <w:tc>
          <w:tcPr>
            <w:tcW w:w="1034"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460" w:firstLineChars="20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w:t>
            </w:r>
          </w:p>
        </w:tc>
        <w:tc>
          <w:tcPr>
            <w:tcW w:w="1915" w:type="dxa"/>
            <w:gridSpan w:val="4"/>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相对密度(水=1)</w:t>
            </w:r>
          </w:p>
        </w:tc>
        <w:tc>
          <w:tcPr>
            <w:tcW w:w="126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0.836</w:t>
            </w:r>
          </w:p>
        </w:tc>
        <w:tc>
          <w:tcPr>
            <w:tcW w:w="164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8"/>
                <w:kern w:val="2"/>
                <w:sz w:val="21"/>
                <w:szCs w:val="21"/>
              </w:rPr>
            </w:pPr>
            <w:r>
              <w:rPr>
                <w:rFonts w:hint="eastAsia" w:ascii="宋体" w:hAnsi="宋体" w:eastAsia="宋体" w:cs="宋体"/>
                <w:color w:val="auto"/>
                <w:spacing w:val="-18"/>
                <w:kern w:val="2"/>
                <w:sz w:val="21"/>
                <w:szCs w:val="21"/>
              </w:rPr>
              <w:t>相对密度(空气=1)</w:t>
            </w:r>
          </w:p>
        </w:tc>
        <w:tc>
          <w:tcPr>
            <w:tcW w:w="163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沸点(℃)</w:t>
            </w:r>
          </w:p>
        </w:tc>
        <w:tc>
          <w:tcPr>
            <w:tcW w:w="2949" w:type="dxa"/>
            <w:gridSpan w:val="5"/>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1380" w:firstLineChars="60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＞35</w:t>
            </w:r>
          </w:p>
        </w:tc>
        <w:tc>
          <w:tcPr>
            <w:tcW w:w="2382"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17" w:leftChars="7"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饱和蒸气压(kPa)</w:t>
            </w:r>
          </w:p>
        </w:tc>
        <w:tc>
          <w:tcPr>
            <w:tcW w:w="2155"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17" w:leftChars="7" w:right="0" w:firstLine="210" w:firstLineChars="10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温度、压力</w:t>
            </w:r>
          </w:p>
        </w:tc>
        <w:tc>
          <w:tcPr>
            <w:tcW w:w="1548"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临界温度(℃)</w:t>
            </w:r>
          </w:p>
        </w:tc>
        <w:tc>
          <w:tcPr>
            <w:tcW w:w="1401"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45" w:firstLineChars="15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w:t>
            </w:r>
          </w:p>
        </w:tc>
        <w:tc>
          <w:tcPr>
            <w:tcW w:w="2382"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2155"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420" w:firstLineChars="20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溶解性</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不溶于水，可混溶于苯、醇、醚、等多数有机溶剂。</w:t>
            </w:r>
            <w:r>
              <w:rPr>
                <w:rFonts w:hint="eastAsia" w:ascii="宋体" w:hAnsi="宋体" w:eastAsia="宋体" w:cs="宋体"/>
                <w:color w:val="auto"/>
                <w:spacing w:val="10"/>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毒性及健康危害</w:t>
            </w:r>
          </w:p>
        </w:tc>
        <w:tc>
          <w:tcPr>
            <w:tcW w:w="1365"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侵入途径</w:t>
            </w:r>
          </w:p>
        </w:tc>
        <w:tc>
          <w:tcPr>
            <w:tcW w:w="7486" w:type="dxa"/>
            <w:gridSpan w:val="10"/>
            <w:tcBorders>
              <w:top w:val="single" w:color="auto" w:sz="6" w:space="0"/>
              <w:left w:val="single" w:color="auto" w:sz="6" w:space="0"/>
              <w:bottom w:val="nil"/>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吸入、食入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毒性</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危险性类别</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7"/>
                <w:rFonts w:hint="eastAsia" w:ascii="宋体" w:hAnsi="宋体" w:eastAsia="宋体" w:cs="宋体"/>
                <w:color w:val="auto"/>
                <w:kern w:val="2"/>
                <w:sz w:val="21"/>
                <w:szCs w:val="21"/>
              </w:rPr>
            </w:pPr>
            <w:r>
              <w:rPr>
                <w:rFonts w:hint="eastAsia" w:ascii="宋体" w:hAnsi="宋体" w:eastAsia="宋体" w:cs="宋体"/>
                <w:color w:val="auto"/>
                <w:kern w:val="0"/>
                <w:sz w:val="21"/>
                <w:szCs w:val="21"/>
              </w:rPr>
              <w:t>易燃液体，类别3；健康危害和环境危害需根据组分进行判断。</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健康危害</w:t>
            </w:r>
          </w:p>
        </w:tc>
        <w:tc>
          <w:tcPr>
            <w:tcW w:w="7486" w:type="dxa"/>
            <w:gridSpan w:val="10"/>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吸入蒸汽会引起头晕、头痛、恶心等症状。蒸汽能刺激眼睛和黏膜。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急救方法</w:t>
            </w:r>
          </w:p>
        </w:tc>
        <w:tc>
          <w:tcPr>
            <w:tcW w:w="7486"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皮肤接触：脱去污染的衣着，用肥皂水和清水彻底冲洗皮肤。如有不适感，就医。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眼睛接触：提起眼睑，用流动清水或生理盐水冲洗。如有不适感，就医。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　　入：迅速脱离现场至空气新鲜处。保持呼吸道通畅。如呼吸困难，给输氧。呼吸、心跳停止，立即进行心肺复苏术。就医。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入：饮水，禁止催吐。如有不适感，就医。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486"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工程控制：密闭操作。提供良好的自然通风条件。</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呼吸系统防护：一般不需要特殊防护，高浓度接触时可佩戴过滤式防尘呼吸器。</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眼睛防护：必要时，戴化学安全防护眼镜。</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身体防护：穿防静电工作服。</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手防护：戴一般作业防护手套。</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其他防护：工作现场严禁吸烟。保持良好的卫生习惯。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燃烧爆炸危险性</w:t>
            </w: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燃烧性</w:t>
            </w:r>
          </w:p>
        </w:tc>
        <w:tc>
          <w:tcPr>
            <w:tcW w:w="1792"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易燃</w:t>
            </w:r>
          </w:p>
        </w:tc>
        <w:tc>
          <w:tcPr>
            <w:tcW w:w="2808"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燃烧分解物</w:t>
            </w:r>
          </w:p>
        </w:tc>
        <w:tc>
          <w:tcPr>
            <w:tcW w:w="288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闪点(℃)</w:t>
            </w:r>
          </w:p>
        </w:tc>
        <w:tc>
          <w:tcPr>
            <w:tcW w:w="1792"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22</w:t>
            </w:r>
          </w:p>
        </w:tc>
        <w:tc>
          <w:tcPr>
            <w:tcW w:w="2808"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爆炸上限%(v%)：</w:t>
            </w:r>
          </w:p>
        </w:tc>
        <w:tc>
          <w:tcPr>
            <w:tcW w:w="288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燃点(℃)</w:t>
            </w:r>
          </w:p>
        </w:tc>
        <w:tc>
          <w:tcPr>
            <w:tcW w:w="1792"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46</w:t>
            </w:r>
          </w:p>
        </w:tc>
        <w:tc>
          <w:tcPr>
            <w:tcW w:w="2808"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爆炸下限%(v%)：</w:t>
            </w:r>
          </w:p>
        </w:tc>
        <w:tc>
          <w:tcPr>
            <w:tcW w:w="2886"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危险特性</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遇高热、明火易燃。蒸气能刺激眼睛和黏膜，吸入蒸气能产生眩晕、头痛、兴奋等症状，吸入高浓度蒸气能造成急性中毒。</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包装与储运</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包装标志：易燃液体包装方法：Ⅱ类，铁桶或铁听装。储存于阴凉、通风的库房。库温不宜超过37℃，远离火种、热源。保持容器密封。应与氧化剂分开存放，切忌混储。配备相应品种和数量的消防器材。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0"/>
                <w:sz w:val="21"/>
                <w:szCs w:val="21"/>
              </w:rPr>
              <w:t>禁忌物</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强氧化剂。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灭火方法</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Style w:val="246"/>
                <w:rFonts w:hint="eastAsia" w:ascii="宋体" w:hAnsi="宋体" w:eastAsia="宋体" w:cs="宋体"/>
                <w:color w:val="auto"/>
                <w:kern w:val="2"/>
                <w:sz w:val="21"/>
                <w:szCs w:val="21"/>
              </w:rPr>
              <w:t>用雾状水、泡沫、二氧化碳、干粉、砂土灭火。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spacing w:val="10"/>
                <w:kern w:val="2"/>
                <w:sz w:val="21"/>
                <w:szCs w:val="21"/>
              </w:rPr>
            </w:pPr>
          </w:p>
        </w:tc>
        <w:tc>
          <w:tcPr>
            <w:tcW w:w="136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48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spacing w:val="-2"/>
                <w:kern w:val="0"/>
                <w:sz w:val="21"/>
                <w:szCs w:val="21"/>
              </w:rPr>
            </w:pPr>
            <w:r>
              <w:rPr>
                <w:rStyle w:val="246"/>
                <w:rFonts w:hint="eastAsia" w:ascii="宋体" w:hAnsi="宋体" w:eastAsia="宋体" w:cs="宋体"/>
                <w:color w:val="auto"/>
                <w:spacing w:val="-2"/>
                <w:kern w:val="2"/>
                <w:sz w:val="21"/>
                <w:szCs w:val="21"/>
              </w:rPr>
              <w:t>消除所有点火源。根据液体流动和蒸气扩散的影响区域划定警戒区，无关人员从侧风、上风向撤离至安全区。建议应急处理人员戴正压自给式呼吸器，穿一般作业工作服。穿上适当的防护服前严禁接触破裂的容器和泄漏物。尽可能切断泄漏源。用塑料布覆盖泄漏物，减少飞散。勿使水进入包装容器内。用洁净的铲子收集泄漏物，置于干净、干燥、盖子较松的容器中，将容器移离泄漏区。</w:t>
            </w:r>
          </w:p>
        </w:tc>
      </w:tr>
    </w:tbl>
    <w:p>
      <w:pPr>
        <w:spacing w:line="560" w:lineRule="exact"/>
        <w:jc w:val="center"/>
        <w:rPr>
          <w:rFonts w:hint="eastAsia" w:ascii="宋体" w:hAnsi="宋体" w:eastAsia="宋体"/>
          <w:b/>
          <w:color w:val="auto"/>
          <w:lang w:eastAsia="zh-CN"/>
        </w:rPr>
      </w:pP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 xml:space="preserve">7 </w:t>
      </w:r>
      <w:r>
        <w:rPr>
          <w:rFonts w:hint="eastAsia" w:ascii="宋体" w:hAnsi="宋体" w:eastAsia="宋体"/>
          <w:b/>
          <w:color w:val="auto"/>
          <w:lang w:eastAsia="zh-CN"/>
        </w:rPr>
        <w:t>清洗剂理化特性表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9"/>
        <w:gridCol w:w="1366"/>
        <w:gridCol w:w="1034"/>
        <w:gridCol w:w="514"/>
        <w:gridCol w:w="444"/>
        <w:gridCol w:w="596"/>
        <w:gridCol w:w="363"/>
        <w:gridCol w:w="1054"/>
        <w:gridCol w:w="598"/>
        <w:gridCol w:w="394"/>
        <w:gridCol w:w="709"/>
        <w:gridCol w:w="1779"/>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549" w:type="dxa"/>
            <w:vMerge w:val="restart"/>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5969" w:type="dxa"/>
            <w:gridSpan w:val="8"/>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中文名：</w:t>
            </w:r>
            <w:r>
              <w:rPr>
                <w:rFonts w:hint="eastAsia" w:ascii="宋体" w:hAnsi="宋体" w:eastAsia="宋体" w:cs="宋体"/>
                <w:color w:val="auto"/>
                <w:kern w:val="2"/>
                <w:sz w:val="21"/>
                <w:szCs w:val="21"/>
                <w:lang w:val="en-US" w:eastAsia="zh-CN"/>
              </w:rPr>
              <w:t>C-36</w:t>
            </w:r>
            <w:r>
              <w:rPr>
                <w:rFonts w:hint="eastAsia" w:ascii="宋体" w:hAnsi="宋体" w:eastAsia="宋体" w:cs="宋体"/>
                <w:color w:val="auto"/>
                <w:kern w:val="2"/>
                <w:sz w:val="21"/>
                <w:szCs w:val="21"/>
                <w:lang w:eastAsia="zh-CN"/>
              </w:rPr>
              <w:t>清洗剂</w:t>
            </w:r>
          </w:p>
        </w:tc>
        <w:tc>
          <w:tcPr>
            <w:tcW w:w="2882" w:type="dxa"/>
            <w:gridSpan w:val="3"/>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危险化学品目录序号：2828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5969" w:type="dxa"/>
            <w:gridSpan w:val="8"/>
            <w:tcBorders>
              <w:top w:val="nil"/>
              <w:left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p>
        </w:tc>
        <w:tc>
          <w:tcPr>
            <w:tcW w:w="2882" w:type="dxa"/>
            <w:gridSpan w:val="3"/>
            <w:tcBorders>
              <w:top w:val="single" w:color="auto" w:sz="6" w:space="0"/>
              <w:left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UN编号：/</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3358"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分子式：/</w:t>
            </w:r>
          </w:p>
        </w:tc>
        <w:tc>
          <w:tcPr>
            <w:tcW w:w="2611"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分子量：/</w:t>
            </w:r>
          </w:p>
        </w:tc>
        <w:tc>
          <w:tcPr>
            <w:tcW w:w="2882" w:type="dxa"/>
            <w:gridSpan w:val="3"/>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366" w:type="dxa"/>
            <w:tcBorders>
              <w:top w:val="single" w:color="auto" w:sz="6" w:space="0"/>
              <w:left w:val="single" w:color="auto" w:sz="6"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7485" w:type="dxa"/>
            <w:gridSpan w:val="10"/>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主要用途</w:t>
            </w:r>
          </w:p>
        </w:tc>
        <w:tc>
          <w:tcPr>
            <w:tcW w:w="7485" w:type="dxa"/>
            <w:gridSpan w:val="10"/>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034" w:type="dxa"/>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917" w:type="dxa"/>
            <w:gridSpan w:val="4"/>
            <w:tcBorders>
              <w:top w:val="single" w:color="auto" w:sz="6" w:space="0"/>
              <w:left w:val="single" w:color="auto" w:sz="6"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054" w:type="dxa"/>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1701" w:type="dxa"/>
            <w:gridSpan w:val="3"/>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相对密度(空气=1)</w:t>
            </w:r>
          </w:p>
        </w:tc>
        <w:tc>
          <w:tcPr>
            <w:tcW w:w="177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2951" w:type="dxa"/>
            <w:gridSpan w:val="5"/>
            <w:tcBorders>
              <w:top w:val="single" w:color="auto" w:sz="6" w:space="0"/>
              <w:left w:val="single" w:color="auto" w:sz="4"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2755" w:type="dxa"/>
            <w:gridSpan w:val="4"/>
            <w:tcBorders>
              <w:top w:val="single" w:color="auto" w:sz="6" w:space="0"/>
              <w:left w:val="single" w:color="auto" w:sz="4"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1779" w:type="dxa"/>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548" w:type="dxa"/>
            <w:gridSpan w:val="2"/>
            <w:tcBorders>
              <w:top w:val="single" w:color="auto" w:sz="6" w:space="0"/>
              <w:left w:val="single" w:color="auto" w:sz="4"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403" w:type="dxa"/>
            <w:gridSpan w:val="3"/>
            <w:tcBorders>
              <w:top w:val="single" w:color="auto" w:sz="6" w:space="0"/>
              <w:left w:val="single" w:color="auto" w:sz="4"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2755" w:type="dxa"/>
            <w:gridSpan w:val="4"/>
            <w:tcBorders>
              <w:top w:val="single" w:color="auto" w:sz="6" w:space="0"/>
              <w:left w:val="single" w:color="auto" w:sz="4"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1779" w:type="dxa"/>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溶于水。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毒性及健康危害</w:t>
            </w:r>
          </w:p>
        </w:tc>
        <w:tc>
          <w:tcPr>
            <w:tcW w:w="1366" w:type="dxa"/>
            <w:tcBorders>
              <w:top w:val="single" w:color="auto" w:sz="6" w:space="0"/>
              <w:left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侵入途径</w:t>
            </w:r>
          </w:p>
        </w:tc>
        <w:tc>
          <w:tcPr>
            <w:tcW w:w="7485" w:type="dxa"/>
            <w:gridSpan w:val="10"/>
            <w:tcBorders>
              <w:top w:val="single" w:color="auto" w:sz="6" w:space="0"/>
              <w:left w:val="single" w:color="auto" w:sz="6" w:space="0"/>
              <w:bottom w:val="nil"/>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经皮吸收、食入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严重眼损伤</w:t>
            </w:r>
            <w:r>
              <w:rPr>
                <w:rFonts w:hint="eastAsia" w:ascii="宋体" w:hAnsi="宋体" w:eastAsia="宋体" w:cs="宋体"/>
                <w:color w:val="auto"/>
                <w:kern w:val="2"/>
                <w:sz w:val="21"/>
                <w:szCs w:val="21"/>
                <w:lang w:val="en-US" w:eastAsia="zh-CN"/>
              </w:rPr>
              <w:t>/眼刺激（类别2A）</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4"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485" w:type="dxa"/>
            <w:gridSpan w:val="10"/>
            <w:tcBorders>
              <w:top w:val="single" w:color="auto" w:sz="6" w:space="0"/>
              <w:left w:val="single" w:color="auto" w:sz="6" w:space="0"/>
              <w:bottom w:val="single" w:color="auto" w:sz="4"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对眼睛有刺激，但无危险。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485" w:type="dxa"/>
            <w:gridSpan w:val="10"/>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皮肤接触：脱去污染的衣着，用肥皂水及清水彻底冲洗皮肤，就医。</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眼睛接触：立即翻开上下眼睑，用流动清水或生理盐水冲洗至少</w:t>
            </w:r>
            <w:r>
              <w:rPr>
                <w:rFonts w:hint="eastAsia" w:ascii="宋体" w:hAnsi="宋体" w:eastAsia="宋体" w:cs="宋体"/>
                <w:color w:val="auto"/>
                <w:kern w:val="2"/>
                <w:sz w:val="21"/>
                <w:szCs w:val="21"/>
                <w:lang w:val="en-US" w:eastAsia="zh-CN"/>
              </w:rPr>
              <w:t>15min，就医。</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食入：饮足量温水，催吐，就医。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防护措施</w:t>
            </w:r>
          </w:p>
        </w:tc>
        <w:tc>
          <w:tcPr>
            <w:tcW w:w="7485" w:type="dxa"/>
            <w:gridSpan w:val="10"/>
            <w:tcBorders>
              <w:top w:val="single" w:color="auto" w:sz="4"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防酸碱手套、工作服，防护眼镜。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燃烧爆炸危险性</w:t>
            </w: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2588"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不燃</w:t>
            </w:r>
          </w:p>
        </w:tc>
        <w:tc>
          <w:tcPr>
            <w:tcW w:w="2409"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2488" w:type="dxa"/>
            <w:gridSpan w:val="2"/>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2588"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2409"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2488" w:type="dxa"/>
            <w:gridSpan w:val="2"/>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4"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燃点(℃)</w:t>
            </w:r>
          </w:p>
        </w:tc>
        <w:tc>
          <w:tcPr>
            <w:tcW w:w="2588" w:type="dxa"/>
            <w:gridSpan w:val="4"/>
            <w:tcBorders>
              <w:top w:val="single" w:color="auto" w:sz="6" w:space="0"/>
              <w:left w:val="single" w:color="auto" w:sz="4"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w:t>
            </w:r>
          </w:p>
        </w:tc>
        <w:tc>
          <w:tcPr>
            <w:tcW w:w="2409" w:type="dxa"/>
            <w:gridSpan w:val="4"/>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2488" w:type="dxa"/>
            <w:gridSpan w:val="2"/>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有腐蚀性，与碱发生中和反应并放热。</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标志：易燃液体包装方法：Ⅱ类，铁桶或铁听装。储存于阴凉、通风的库房。库温不宜超过37℃，远离火种、热源。保持容器密封。应与氧化剂分开存放，切忌混储。配备相应品种和数量的消防器材。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禁忌物</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碱性物质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本品不燃，不适用。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p>
        </w:tc>
        <w:tc>
          <w:tcPr>
            <w:tcW w:w="136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泄漏处置</w:t>
            </w:r>
          </w:p>
        </w:tc>
        <w:tc>
          <w:tcPr>
            <w:tcW w:w="7485" w:type="dxa"/>
            <w:gridSpan w:val="10"/>
            <w:tcBorders>
              <w:top w:val="single" w:color="auto" w:sz="6" w:space="0"/>
              <w:left w:val="single" w:color="auto" w:sz="6" w:space="0"/>
              <w:bottom w:val="single" w:color="auto" w:sz="6" w:space="0"/>
              <w:right w:val="single" w:color="auto" w:sz="6" w:space="0"/>
            </w:tcBorders>
            <w:shd w:val="clear" w:color="auto" w:fill="auto"/>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根据液体流动和蒸汽扩散的影响区域划定警戒区，无关人员撤离至安全区；操作人员必须经过专门培训，遵守操作规程。建议应急处理人员穿戴防护服，戴防护眼镜。迅速撤离泄漏污染区人员至安全地带，并进行隔离，严格限制出入。尽可能切断泄漏源。避免液体扩散，不可流入下水道中。</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小量泄漏：尽可能将溢漏液收集在密闭容器内，用惰性吸收材料吸收，并转移至安全场所，禁止冲入下水道。</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大量泄漏：构筑围堤或挖坑收容后，交由有资质的单位处理。</w:t>
            </w:r>
          </w:p>
        </w:tc>
      </w:tr>
    </w:tbl>
    <w:p>
      <w:pPr>
        <w:pStyle w:val="2"/>
        <w:rPr>
          <w:rFonts w:hint="eastAsia"/>
          <w:color w:val="auto"/>
          <w:lang w:eastAsia="zh-CN"/>
        </w:rPr>
      </w:pP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 xml:space="preserve">8 </w:t>
      </w:r>
      <w:r>
        <w:rPr>
          <w:rFonts w:hint="eastAsia" w:ascii="宋体" w:hAnsi="宋体" w:eastAsia="宋体"/>
          <w:b/>
          <w:color w:val="auto"/>
          <w:lang w:eastAsia="zh-CN"/>
        </w:rPr>
        <w:t>氢氧化钠理化特性表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50"/>
        <w:gridCol w:w="1384"/>
        <w:gridCol w:w="1058"/>
        <w:gridCol w:w="519"/>
        <w:gridCol w:w="248"/>
        <w:gridCol w:w="203"/>
        <w:gridCol w:w="965"/>
        <w:gridCol w:w="1261"/>
        <w:gridCol w:w="195"/>
        <w:gridCol w:w="944"/>
        <w:gridCol w:w="778"/>
        <w:gridCol w:w="1295"/>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5833" w:type="dxa"/>
            <w:gridSpan w:val="8"/>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中文名：</w:t>
            </w:r>
            <w:r>
              <w:rPr>
                <w:rFonts w:hint="eastAsia" w:ascii="宋体" w:hAnsi="宋体" w:eastAsia="宋体" w:cs="宋体"/>
                <w:color w:val="auto"/>
                <w:kern w:val="0"/>
                <w:sz w:val="21"/>
                <w:szCs w:val="21"/>
              </w:rPr>
              <w:t>烧碱；氢氧化钠；火碱；苛性钠；</w:t>
            </w:r>
          </w:p>
        </w:tc>
        <w:tc>
          <w:tcPr>
            <w:tcW w:w="3017" w:type="dxa"/>
            <w:gridSpan w:val="3"/>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危险化学品目录序号：1669</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5833" w:type="dxa"/>
            <w:gridSpan w:val="8"/>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r>
              <w:rPr>
                <w:rFonts w:hint="eastAsia" w:ascii="宋体" w:hAnsi="宋体" w:eastAsia="宋体" w:cs="宋体"/>
                <w:color w:val="auto"/>
                <w:kern w:val="0"/>
                <w:sz w:val="21"/>
                <w:szCs w:val="21"/>
              </w:rPr>
              <w:t>Sodiunhydroxide；Causticsoda</w:t>
            </w:r>
          </w:p>
        </w:tc>
        <w:tc>
          <w:tcPr>
            <w:tcW w:w="3017" w:type="dxa"/>
            <w:gridSpan w:val="3"/>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UN编号：</w:t>
            </w:r>
            <w:r>
              <w:rPr>
                <w:rFonts w:hint="eastAsia" w:ascii="宋体" w:hAnsi="宋体" w:eastAsia="宋体" w:cs="宋体"/>
                <w:color w:val="auto"/>
                <w:kern w:val="0"/>
                <w:sz w:val="21"/>
                <w:szCs w:val="21"/>
              </w:rPr>
              <w:t>1823固；1824液</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3412"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分子式：</w:t>
            </w:r>
            <w:r>
              <w:rPr>
                <w:rFonts w:hint="eastAsia" w:ascii="宋体" w:hAnsi="宋体" w:eastAsia="宋体" w:cs="宋体"/>
                <w:color w:val="auto"/>
                <w:kern w:val="0"/>
                <w:sz w:val="21"/>
                <w:szCs w:val="21"/>
              </w:rPr>
              <w:t>NaOH</w:t>
            </w:r>
          </w:p>
        </w:tc>
        <w:tc>
          <w:tcPr>
            <w:tcW w:w="242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分子量：</w:t>
            </w:r>
            <w:r>
              <w:rPr>
                <w:rFonts w:hint="eastAsia" w:ascii="宋体" w:hAnsi="宋体" w:eastAsia="宋体" w:cs="宋体"/>
                <w:color w:val="auto"/>
                <w:kern w:val="0"/>
                <w:sz w:val="21"/>
                <w:szCs w:val="21"/>
              </w:rPr>
              <w:t>40.01</w:t>
            </w:r>
          </w:p>
        </w:tc>
        <w:tc>
          <w:tcPr>
            <w:tcW w:w="3017"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w:t>
            </w:r>
            <w:r>
              <w:rPr>
                <w:rFonts w:hint="eastAsia" w:ascii="宋体" w:hAnsi="宋体" w:eastAsia="宋体" w:cs="宋体"/>
                <w:color w:val="auto"/>
                <w:kern w:val="0"/>
                <w:sz w:val="21"/>
                <w:szCs w:val="21"/>
              </w:rPr>
              <w:t>1310-73-2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384"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7466"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纯品为无色透明晶体。吸湿性强。</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主要用途</w:t>
            </w:r>
          </w:p>
        </w:tc>
        <w:tc>
          <w:tcPr>
            <w:tcW w:w="7466"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广泛用作中和剂，用于各种钠盐制造、肥皂、造纸、棉织品、丝、粘胶纤维、橡胶制品的再生、金属清洗、电镀、漂白等。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058"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105" w:firstLineChars="5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318.4</w:t>
            </w:r>
          </w:p>
        </w:tc>
        <w:tc>
          <w:tcPr>
            <w:tcW w:w="1935" w:type="dxa"/>
            <w:gridSpan w:val="4"/>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261"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firstLine="210" w:firstLineChars="10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2.12</w:t>
            </w:r>
          </w:p>
        </w:tc>
        <w:tc>
          <w:tcPr>
            <w:tcW w:w="1917"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pacing w:val="-6"/>
                <w:kern w:val="2"/>
                <w:sz w:val="21"/>
                <w:szCs w:val="21"/>
              </w:rPr>
            </w:pPr>
            <w:r>
              <w:rPr>
                <w:rFonts w:hint="eastAsia" w:ascii="宋体" w:hAnsi="宋体" w:eastAsia="宋体" w:cs="宋体"/>
                <w:color w:val="auto"/>
                <w:spacing w:val="-6"/>
                <w:kern w:val="2"/>
                <w:sz w:val="21"/>
                <w:szCs w:val="21"/>
              </w:rPr>
              <w:t>相对密度(空气=1)</w:t>
            </w:r>
          </w:p>
        </w:tc>
        <w:tc>
          <w:tcPr>
            <w:tcW w:w="129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2993" w:type="dxa"/>
            <w:gridSpan w:val="5"/>
            <w:tcBorders>
              <w:top w:val="single" w:color="auto" w:sz="6" w:space="0"/>
              <w:left w:val="single" w:color="auto" w:sz="4" w:space="0"/>
              <w:bottom w:val="single" w:color="auto" w:sz="6"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firstLine="840" w:firstLineChars="40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1390</w:t>
            </w:r>
          </w:p>
        </w:tc>
        <w:tc>
          <w:tcPr>
            <w:tcW w:w="2400"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17" w:leftChars="7"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2073"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17" w:leftChars="7" w:right="0" w:firstLine="210" w:firstLineChars="10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0.13／739℃</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577"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416"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15" w:firstLineChars="150"/>
              <w:jc w:val="center"/>
              <w:rPr>
                <w:rFonts w:hint="eastAsia" w:ascii="宋体" w:hAnsi="宋体" w:eastAsia="宋体" w:cs="宋体"/>
                <w:color w:val="auto"/>
                <w:kern w:val="2"/>
                <w:sz w:val="21"/>
                <w:szCs w:val="21"/>
              </w:rPr>
            </w:pPr>
          </w:p>
        </w:tc>
        <w:tc>
          <w:tcPr>
            <w:tcW w:w="3178" w:type="dxa"/>
            <w:gridSpan w:val="4"/>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1295"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420" w:firstLineChars="200"/>
              <w:jc w:val="center"/>
              <w:rPr>
                <w:rFonts w:hint="eastAsia" w:ascii="宋体" w:hAnsi="宋体" w:eastAsia="宋体" w:cs="宋体"/>
                <w:color w:val="auto"/>
                <w:kern w:val="2"/>
                <w:sz w:val="21"/>
                <w:szCs w:val="21"/>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46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易溶于水、乙醇、甘油，不溶于丙酮。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毒性及健康危害</w:t>
            </w:r>
          </w:p>
        </w:tc>
        <w:tc>
          <w:tcPr>
            <w:tcW w:w="1384"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466" w:type="dxa"/>
            <w:gridSpan w:val="10"/>
            <w:tcBorders>
              <w:top w:val="single" w:color="auto" w:sz="6" w:space="0"/>
              <w:left w:val="single" w:color="auto" w:sz="6" w:space="0"/>
              <w:right w:val="single" w:color="auto" w:sz="6"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小鼠腹膜腔LD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:40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1384"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466" w:type="dxa"/>
            <w:gridSpan w:val="10"/>
            <w:tcBorders>
              <w:top w:val="single" w:color="auto" w:sz="6" w:space="0"/>
              <w:left w:val="single" w:color="auto" w:sz="6" w:space="0"/>
              <w:right w:val="single" w:color="auto" w:sz="6"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rPr>
                <w:rStyle w:val="247"/>
                <w:rFonts w:hint="eastAsia" w:ascii="宋体" w:hAnsi="宋体" w:eastAsia="宋体" w:cs="宋体"/>
                <w:color w:val="auto"/>
                <w:kern w:val="2"/>
                <w:sz w:val="21"/>
                <w:szCs w:val="21"/>
              </w:rPr>
            </w:pPr>
            <w:r>
              <w:rPr>
                <w:rFonts w:hint="eastAsia" w:ascii="宋体" w:hAnsi="宋体" w:eastAsia="宋体" w:cs="宋体"/>
                <w:color w:val="auto"/>
                <w:kern w:val="0"/>
                <w:sz w:val="21"/>
                <w:szCs w:val="21"/>
              </w:rPr>
              <w:t>皮肤腐蚀/刺激,类别1A；严重眼损伤/眼刺激,类别1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466" w:type="dxa"/>
            <w:gridSpan w:val="10"/>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本品有强烈刺激和腐蚀性。粉尘刺激眼和呼吸道，腐蚀鼻中隔；皮肤和眼直接接触可引起灼伤；误服可造成消化道灼伤，粘膜糜烂、出血和休克。</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466"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皮肤接触：立即脱去污染的衣着，用大量流动清水冲洗20～30分钟。如有不适感，就医。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眼睛接触：立即提起眼睑，用大量流动清水或生理盐水彻底冲洗10～15分钟。如有不适感，就医。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吸入：迅速脱离现场至空气新鲜处。保持呼吸道通畅。如呼吸困难，给输氧。呼吸、心跳停止，立即进行心肺复苏术。就医。</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入：用水漱口，给饮牛奶或蛋清。就医。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466"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工程控制：密闭操作。提供安全淋浴和洗眼设备。</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呼吸系统防护：可能接触其粉尘时，必须佩戴过滤式防尘呼吸器。必要时配戴空气呼吸器。</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眼睛防护：戴化学安全防护眼镜。</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身体防护：穿橡胶耐酸碱服。</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手防护：戴橡胶耐酸碱手套。</w:t>
            </w:r>
          </w:p>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其他防护：工作场所禁止吸烟、进食和饮水，饭前要洗手。工作完毕，淋浴更衣。注意个人清洁卫生。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燃烧爆炸危险性</w:t>
            </w: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1825"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242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3212"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1825"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c>
          <w:tcPr>
            <w:tcW w:w="242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3212"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spacing w:val="-10"/>
                <w:kern w:val="2"/>
                <w:sz w:val="21"/>
                <w:szCs w:val="21"/>
              </w:rPr>
              <w:t>自燃温度(℃)</w:t>
            </w:r>
          </w:p>
        </w:tc>
        <w:tc>
          <w:tcPr>
            <w:tcW w:w="1825"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c>
          <w:tcPr>
            <w:tcW w:w="242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3212"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46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与酸发生中和反应并放热。遇潮时对铝、锌和锡有腐蚀性，并放出易燃易爆的氢气。本品不会燃烧,遇水和水蒸气大量放热,形成腐蚀性溶液。具有强腐蚀性。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46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固体可装入0.5毫米厚的钢桶中严封，每桶净重不超过100公斤；塑料袋或二层牛皮纸袋外全开口或中开口钢桶；螺纹口玻璃瓶、铁盖压口玻璃瓶、塑料瓶或金属桶(罐)外普通木箱；螺纹口玻璃瓶、塑料瓶或镀锡薄钢板桶(罐)外满底板花格箱、纤维板箱或胶合板箱；镀锡薄钢板桶(罐)、金属桶(罐)、塑料瓶或金属软管外瓦楞纸箱。储存于阴凉、干燥、通风良好的库房。远离火种、热源。库温不超过35℃，相对湿度不超过80％。包装必须密封，切勿受潮。应与易(可)燃物、酸类等分开存放，切忌混储。储区应备有合适的材料收容泄漏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禁忌物</w:t>
            </w:r>
          </w:p>
        </w:tc>
        <w:tc>
          <w:tcPr>
            <w:tcW w:w="746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强酸、易燃或可燃物、二氧化碳、过氧化物、水。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46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雾状水、砂土。使用雾状水冷却暴露的容器。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0"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466"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隔离泄漏污染区，限制出入。建议应急处理人员戴防尘口罩，穿防酸碱服。穿上适当的防护服前严禁接触破裂的容器和泄漏物。尽可能切断泄漏源。用塑料布覆盖泄漏物，减少飞散。勿使水进入包装容器内。用洁净的铲子收集泄漏物，置于干净、干燥、盖子较松的容器中，将容器移离泄漏区。</w:t>
            </w:r>
          </w:p>
        </w:tc>
      </w:tr>
    </w:tbl>
    <w:p>
      <w:pPr>
        <w:pStyle w:val="2"/>
        <w:rPr>
          <w:rFonts w:hint="eastAsia"/>
          <w:color w:val="auto"/>
          <w:lang w:eastAsia="zh-CN"/>
        </w:rPr>
      </w:pP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 xml:space="preserve">9 </w:t>
      </w:r>
      <w:r>
        <w:rPr>
          <w:rFonts w:hint="eastAsia" w:ascii="宋体" w:hAnsi="宋体" w:eastAsia="宋体"/>
          <w:b/>
          <w:color w:val="auto"/>
          <w:lang w:eastAsia="zh-CN"/>
        </w:rPr>
        <w:t>磷酸理化特性表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51"/>
        <w:gridCol w:w="1379"/>
        <w:gridCol w:w="1297"/>
        <w:gridCol w:w="296"/>
        <w:gridCol w:w="246"/>
        <w:gridCol w:w="202"/>
        <w:gridCol w:w="954"/>
        <w:gridCol w:w="1268"/>
        <w:gridCol w:w="313"/>
        <w:gridCol w:w="265"/>
        <w:gridCol w:w="546"/>
        <w:gridCol w:w="779"/>
        <w:gridCol w:w="1304"/>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5955" w:type="dxa"/>
            <w:gridSpan w:val="8"/>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中文名：</w:t>
            </w:r>
            <w:r>
              <w:rPr>
                <w:rFonts w:hint="eastAsia" w:ascii="宋体" w:hAnsi="宋体" w:eastAsia="宋体" w:cs="宋体"/>
                <w:color w:val="auto"/>
                <w:kern w:val="0"/>
                <w:sz w:val="21"/>
                <w:szCs w:val="21"/>
              </w:rPr>
              <w:t>磷酸；正磷酸</w:t>
            </w:r>
          </w:p>
        </w:tc>
        <w:tc>
          <w:tcPr>
            <w:tcW w:w="2894" w:type="dxa"/>
            <w:gridSpan w:val="4"/>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spacing w:val="10"/>
                <w:kern w:val="2"/>
                <w:sz w:val="21"/>
                <w:szCs w:val="21"/>
              </w:rPr>
            </w:pPr>
            <w:r>
              <w:rPr>
                <w:rFonts w:hint="eastAsia" w:ascii="宋体" w:hAnsi="宋体" w:eastAsia="宋体" w:cs="宋体"/>
                <w:color w:val="auto"/>
                <w:kern w:val="2"/>
                <w:sz w:val="21"/>
                <w:szCs w:val="21"/>
              </w:rPr>
              <w:t>危险化学品目录序号：2790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p>
        </w:tc>
        <w:tc>
          <w:tcPr>
            <w:tcW w:w="5955" w:type="dxa"/>
            <w:gridSpan w:val="8"/>
            <w:tcBorders>
              <w:top w:val="nil"/>
              <w:left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r>
              <w:rPr>
                <w:rFonts w:hint="eastAsia" w:ascii="宋体" w:hAnsi="宋体" w:eastAsia="宋体" w:cs="宋体"/>
                <w:color w:val="auto"/>
                <w:kern w:val="0"/>
                <w:sz w:val="21"/>
                <w:szCs w:val="21"/>
              </w:rPr>
              <w:t>Phosphoricacid；Orthophosphoricacid</w:t>
            </w:r>
          </w:p>
        </w:tc>
        <w:tc>
          <w:tcPr>
            <w:tcW w:w="2894" w:type="dxa"/>
            <w:gridSpan w:val="4"/>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UN编号：</w:t>
            </w:r>
            <w:r>
              <w:rPr>
                <w:rFonts w:hint="eastAsia" w:ascii="宋体" w:hAnsi="宋体" w:eastAsia="宋体" w:cs="宋体"/>
                <w:color w:val="auto"/>
                <w:kern w:val="0"/>
                <w:sz w:val="21"/>
                <w:szCs w:val="21"/>
              </w:rPr>
              <w:t>1805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3420"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840" w:right="0" w:hanging="840" w:hangingChars="4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分子式：</w:t>
            </w:r>
            <w:r>
              <w:rPr>
                <w:rFonts w:hint="eastAsia" w:ascii="宋体" w:hAnsi="宋体" w:eastAsia="宋体" w:cs="宋体"/>
                <w:color w:val="auto"/>
                <w:kern w:val="0"/>
                <w:sz w:val="21"/>
                <w:szCs w:val="21"/>
              </w:rPr>
              <w:t>H</w:t>
            </w:r>
            <w:r>
              <w:rPr>
                <w:rFonts w:hint="eastAsia" w:ascii="宋体" w:hAnsi="宋体" w:eastAsia="宋体" w:cs="宋体"/>
                <w:color w:val="auto"/>
                <w:kern w:val="0"/>
                <w:sz w:val="21"/>
                <w:szCs w:val="21"/>
                <w:vertAlign w:val="subscript"/>
              </w:rPr>
              <w:t>3</w:t>
            </w:r>
            <w:r>
              <w:rPr>
                <w:rFonts w:hint="eastAsia" w:ascii="宋体" w:hAnsi="宋体" w:eastAsia="宋体" w:cs="宋体"/>
                <w:color w:val="auto"/>
                <w:kern w:val="0"/>
                <w:sz w:val="21"/>
                <w:szCs w:val="21"/>
              </w:rPr>
              <w:t>PO</w:t>
            </w:r>
            <w:r>
              <w:rPr>
                <w:rFonts w:hint="eastAsia" w:ascii="宋体" w:hAnsi="宋体" w:eastAsia="宋体" w:cs="宋体"/>
                <w:color w:val="auto"/>
                <w:kern w:val="0"/>
                <w:sz w:val="21"/>
                <w:szCs w:val="21"/>
                <w:vertAlign w:val="subscript"/>
              </w:rPr>
              <w:t>4</w:t>
            </w:r>
          </w:p>
        </w:tc>
        <w:tc>
          <w:tcPr>
            <w:tcW w:w="2535"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分子量：</w:t>
            </w:r>
            <w:r>
              <w:rPr>
                <w:rFonts w:hint="eastAsia" w:ascii="宋体" w:hAnsi="宋体" w:eastAsia="宋体" w:cs="宋体"/>
                <w:color w:val="auto"/>
                <w:kern w:val="0"/>
                <w:sz w:val="21"/>
                <w:szCs w:val="21"/>
              </w:rPr>
              <w:t>98</w:t>
            </w:r>
          </w:p>
        </w:tc>
        <w:tc>
          <w:tcPr>
            <w:tcW w:w="2894"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w:t>
            </w:r>
            <w:r>
              <w:rPr>
                <w:rFonts w:hint="eastAsia" w:ascii="宋体" w:hAnsi="宋体" w:eastAsia="宋体" w:cs="宋体"/>
                <w:color w:val="auto"/>
                <w:kern w:val="0"/>
                <w:sz w:val="21"/>
                <w:szCs w:val="21"/>
              </w:rPr>
              <w:t>7664-38-2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379"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7470" w:type="dxa"/>
            <w:gridSpan w:val="11"/>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纯磷酸为无色结晶，无臭，具有酸味。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主要用途</w:t>
            </w:r>
          </w:p>
        </w:tc>
        <w:tc>
          <w:tcPr>
            <w:tcW w:w="7470" w:type="dxa"/>
            <w:gridSpan w:val="11"/>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用于制药、颜料、电镀、防锈等。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297"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42.4(纯品)</w:t>
            </w:r>
          </w:p>
        </w:tc>
        <w:tc>
          <w:tcPr>
            <w:tcW w:w="1698" w:type="dxa"/>
            <w:gridSpan w:val="4"/>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268"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1.87(纯品)</w:t>
            </w:r>
          </w:p>
        </w:tc>
        <w:tc>
          <w:tcPr>
            <w:tcW w:w="1903"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相对密度(空气=1)</w:t>
            </w:r>
          </w:p>
        </w:tc>
        <w:tc>
          <w:tcPr>
            <w:tcW w:w="130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3.38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2995" w:type="dxa"/>
            <w:gridSpan w:val="5"/>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firstLine="630" w:firstLineChars="30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260</w:t>
            </w:r>
          </w:p>
        </w:tc>
        <w:tc>
          <w:tcPr>
            <w:tcW w:w="2392" w:type="dxa"/>
            <w:gridSpan w:val="4"/>
            <w:tcBorders>
              <w:top w:val="single" w:color="auto" w:sz="6" w:space="0"/>
              <w:left w:val="single" w:color="auto" w:sz="4" w:space="0"/>
              <w:bottom w:val="single" w:color="auto" w:sz="6" w:space="0"/>
              <w:right w:val="single" w:color="auto" w:sz="4" w:space="0"/>
            </w:tcBorders>
            <w:noWrap w:val="0"/>
            <w:vAlign w:val="top"/>
          </w:tcPr>
          <w:p>
            <w:pPr>
              <w:keepNext w:val="0"/>
              <w:keepLines w:val="0"/>
              <w:suppressLineNumbers w:val="0"/>
              <w:spacing w:before="100" w:beforeAutospacing="1" w:after="100" w:afterAutospacing="1" w:line="240" w:lineRule="auto"/>
              <w:ind w:left="17" w:leftChars="7"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2083" w:type="dxa"/>
            <w:gridSpan w:val="2"/>
            <w:tcBorders>
              <w:top w:val="single" w:color="auto" w:sz="6" w:space="0"/>
              <w:left w:val="single" w:color="auto" w:sz="4" w:space="0"/>
              <w:bottom w:val="single" w:color="auto" w:sz="6" w:space="0"/>
              <w:right w:val="single" w:color="auto" w:sz="6" w:space="0"/>
            </w:tcBorders>
            <w:noWrap w:val="0"/>
            <w:vAlign w:val="top"/>
          </w:tcPr>
          <w:p>
            <w:pPr>
              <w:keepNext w:val="0"/>
              <w:keepLines w:val="0"/>
              <w:suppressLineNumbers w:val="0"/>
              <w:spacing w:before="100" w:beforeAutospacing="1" w:after="100" w:afterAutospacing="1" w:line="240" w:lineRule="auto"/>
              <w:ind w:left="17" w:leftChars="7" w:right="0" w:firstLine="210" w:firstLineChars="10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0.67(25℃，纯品)</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593"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4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402"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46" w:leftChars="-19" w:right="0" w:firstLine="315" w:firstLineChars="15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2392" w:type="dxa"/>
            <w:gridSpan w:val="4"/>
            <w:tcBorders>
              <w:top w:val="single" w:color="auto" w:sz="6" w:space="0"/>
              <w:left w:val="single" w:color="auto" w:sz="4" w:space="0"/>
              <w:bottom w:val="single" w:color="auto" w:sz="6" w:space="0"/>
              <w:right w:val="single" w:color="auto" w:sz="4" w:space="0"/>
            </w:tcBorders>
            <w:noWrap w:val="0"/>
            <w:vAlign w:val="top"/>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2083" w:type="dxa"/>
            <w:gridSpan w:val="2"/>
            <w:tcBorders>
              <w:top w:val="single" w:color="auto" w:sz="6" w:space="0"/>
              <w:left w:val="single" w:color="auto" w:sz="4" w:space="0"/>
              <w:bottom w:val="single" w:color="auto" w:sz="6" w:space="0"/>
              <w:right w:val="single" w:color="auto" w:sz="6" w:space="0"/>
            </w:tcBorders>
            <w:noWrap w:val="0"/>
            <w:vAlign w:val="top"/>
          </w:tcPr>
          <w:p>
            <w:pPr>
              <w:keepNext w:val="0"/>
              <w:keepLines w:val="0"/>
              <w:suppressLineNumbers w:val="0"/>
              <w:spacing w:before="100" w:beforeAutospacing="1" w:after="100" w:afterAutospacing="1" w:line="240" w:lineRule="auto"/>
              <w:ind w:left="0" w:right="0" w:firstLine="420" w:firstLineChars="2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与水混溶，可混溶于乙醇。</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毒性及健康危害</w:t>
            </w:r>
          </w:p>
        </w:tc>
        <w:tc>
          <w:tcPr>
            <w:tcW w:w="1379" w:type="dxa"/>
            <w:tcBorders>
              <w:top w:val="single" w:color="auto" w:sz="6" w:space="0"/>
              <w:left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侵入途径</w:t>
            </w:r>
          </w:p>
        </w:tc>
        <w:tc>
          <w:tcPr>
            <w:tcW w:w="7470" w:type="dxa"/>
            <w:gridSpan w:val="11"/>
            <w:tcBorders>
              <w:top w:val="single" w:color="auto" w:sz="6" w:space="0"/>
              <w:left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大鼠经口LD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:1530；</w:t>
            </w:r>
            <w:r>
              <w:rPr>
                <w:rStyle w:val="247"/>
                <w:rFonts w:hint="eastAsia" w:ascii="宋体" w:hAnsi="宋体" w:eastAsia="宋体" w:cs="宋体"/>
                <w:color w:val="auto"/>
                <w:kern w:val="2"/>
                <w:sz w:val="21"/>
                <w:szCs w:val="21"/>
              </w:rPr>
              <w:t>兔经皮LD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:2740。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rPr>
                <w:rStyle w:val="247"/>
                <w:rFonts w:hint="eastAsia" w:ascii="宋体" w:hAnsi="宋体" w:eastAsia="宋体" w:cs="宋体"/>
                <w:color w:val="auto"/>
                <w:kern w:val="2"/>
                <w:sz w:val="21"/>
                <w:szCs w:val="21"/>
              </w:rPr>
            </w:pPr>
            <w:r>
              <w:rPr>
                <w:rFonts w:hint="eastAsia" w:ascii="宋体" w:hAnsi="宋体" w:eastAsia="宋体" w:cs="宋体"/>
                <w:color w:val="auto"/>
                <w:kern w:val="0"/>
                <w:sz w:val="21"/>
                <w:szCs w:val="21"/>
              </w:rPr>
              <w:t>皮肤腐蚀/刺激,类别1B；严重眼损伤/眼刺激,类别1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470" w:type="dxa"/>
            <w:gridSpan w:val="11"/>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蒸气或雾对眼、鼻、喉有刺激性。口服液体可引起恶心、呕吐、腹痛、血便或体克。皮肤或眼接触可致灼伤。慢性影响鼻粘膜萎缩、鼻中隔穿孔。长期反复皮肤接触，可引起皮肤刺激。</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470" w:type="dxa"/>
            <w:gridSpan w:val="11"/>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皮肤接触：立即脱去污染的衣着，用大量流动清水冲洗20～30分钟。如有不适感，就医。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眼睛接触：立即提起眼睑，用大量流动清水或生理盐水彻底冲洗10～15分钟。如有不适感，就医。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　　入：迅速脱离现场至空气新鲜处。保持呼吸道通畅。如呼吸困难，给输氧。呼吸、心跳停止，立即进行心肺复苏术。就医。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入：用水漱口，给饮牛奶或蛋清。就医。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100" w:beforeAutospacing="1" w:after="100" w:afterAutospacing="1"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470" w:type="dxa"/>
            <w:gridSpan w:val="11"/>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工程控制：密闭操作，注意通风。提供安全淋浴和洗眼设备。</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呼吸系统防护：可能接触其蒸气时，必须佩戴过滤式防毒面具(半面罩)；可能接触其粉尘时，建议佩戴过滤式防尘呼吸器。眼睛防护：戴化学安全防护眼镜。</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身体防护：穿橡胶耐酸碱服。手防护：戴橡胶耐酸碱手套。</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其他防护：工作场所禁止吸烟、进食和饮水，饭前要洗手。工作完毕，淋浴更衣。单独存放被毒物污染的衣服，洗后备用。保持良好的卫生习惯。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燃烧爆炸危险性</w:t>
            </w: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183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3002"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262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183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c>
          <w:tcPr>
            <w:tcW w:w="3002"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262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spacing w:val="-20"/>
                <w:kern w:val="2"/>
                <w:sz w:val="21"/>
                <w:szCs w:val="21"/>
              </w:rPr>
            </w:pPr>
            <w:r>
              <w:rPr>
                <w:rFonts w:hint="eastAsia" w:ascii="宋体" w:hAnsi="宋体" w:eastAsia="宋体" w:cs="宋体"/>
                <w:color w:val="auto"/>
                <w:spacing w:val="-20"/>
                <w:kern w:val="2"/>
                <w:sz w:val="21"/>
                <w:szCs w:val="21"/>
              </w:rPr>
              <w:t>自燃温度(℃)</w:t>
            </w:r>
          </w:p>
        </w:tc>
        <w:tc>
          <w:tcPr>
            <w:tcW w:w="1839"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c>
          <w:tcPr>
            <w:tcW w:w="3002" w:type="dxa"/>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2629"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napToGrid w:val="0"/>
              <w:spacing w:before="100" w:beforeAutospacing="1" w:after="100" w:afterAutospacing="1"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遇金属反应放出氢气，能与空气形成爆炸性混合物。受热分解产生有毒的氧化磷烟气。具有腐蚀性。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napToGrid w:val="0"/>
              <w:spacing w:before="100" w:beforeAutospacing="1" w:after="100" w:afterAutospacing="1"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包装类别：</w:t>
            </w:r>
            <w:r>
              <w:rPr>
                <w:rStyle w:val="246"/>
                <w:rFonts w:hint="eastAsia" w:ascii="宋体" w:hAnsi="宋体" w:eastAsia="宋体" w:cs="宋体"/>
                <w:color w:val="auto"/>
                <w:kern w:val="2"/>
                <w:sz w:val="21"/>
                <w:szCs w:val="21"/>
              </w:rPr>
              <w:t>Ⅲ类包装</w:t>
            </w:r>
            <w:r>
              <w:rPr>
                <w:rStyle w:val="247"/>
                <w:rFonts w:hint="eastAsia" w:ascii="宋体" w:hAnsi="宋体" w:eastAsia="宋体" w:cs="宋体"/>
                <w:color w:val="auto"/>
                <w:kern w:val="2"/>
                <w:sz w:val="21"/>
                <w:szCs w:val="21"/>
              </w:rPr>
              <w:t>包装标志：</w:t>
            </w:r>
            <w:r>
              <w:rPr>
                <w:rStyle w:val="246"/>
                <w:rFonts w:hint="eastAsia" w:ascii="宋体" w:hAnsi="宋体" w:eastAsia="宋体" w:cs="宋体"/>
                <w:color w:val="auto"/>
                <w:kern w:val="2"/>
                <w:sz w:val="21"/>
                <w:szCs w:val="21"/>
              </w:rPr>
              <w:t>腐蚀品</w:t>
            </w:r>
            <w:r>
              <w:rPr>
                <w:rStyle w:val="247"/>
                <w:rFonts w:hint="eastAsia" w:ascii="宋体" w:hAnsi="宋体" w:eastAsia="宋体" w:cs="宋体"/>
                <w:color w:val="auto"/>
                <w:kern w:val="2"/>
                <w:sz w:val="21"/>
                <w:szCs w:val="21"/>
              </w:rPr>
              <w:t>包装方法：</w:t>
            </w:r>
            <w:r>
              <w:rPr>
                <w:rStyle w:val="246"/>
                <w:rFonts w:hint="eastAsia" w:ascii="宋体" w:hAnsi="宋体" w:eastAsia="宋体" w:cs="宋体"/>
                <w:color w:val="auto"/>
                <w:kern w:val="2"/>
                <w:sz w:val="21"/>
                <w:szCs w:val="21"/>
              </w:rPr>
              <w:t>玻璃瓶或塑料桶(罐)外普通木箱或半花格木箱；磨砂口玻璃瓶或螺纹口玻璃瓶外普通木箱；螺纹口玻璃瓶、铁盖压口玻璃瓶、塑料瓶或金属桶(罐)外普通木箱。储存于阴凉、通风的库房。远离火种、热源。库温不超过30℃，相对湿度不超过80％。包装密封。应与易(可)燃物、碱类、活性金属粉末分开存放，切忌混储。储区应备有合适的材料收容泄漏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禁忌物</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100" w:beforeAutospacing="1" w:after="100" w:afterAutospacing="1"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强碱、活性金属粉末、易燃或可燃物。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100" w:beforeAutospacing="1" w:after="100" w:afterAutospacing="1"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本品不燃。根据着火原因选择适当灭火剂灭火。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51"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jc w:val="left"/>
              <w:rPr>
                <w:rFonts w:hint="eastAsia" w:ascii="宋体" w:hAnsi="宋体" w:eastAsia="宋体" w:cs="宋体"/>
                <w:color w:val="auto"/>
                <w:kern w:val="2"/>
                <w:sz w:val="21"/>
                <w:szCs w:val="21"/>
              </w:rPr>
            </w:pPr>
          </w:p>
        </w:tc>
        <w:tc>
          <w:tcPr>
            <w:tcW w:w="13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100" w:beforeAutospacing="1" w:after="100" w:afterAutospacing="1"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470" w:type="dxa"/>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100" w:beforeAutospacing="1" w:after="100" w:afterAutospacing="1"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隔离泄漏污染区，限制出入。建议应急处理人员戴防尘口罩，穿防酸碱服。穿上适当的防护服前严禁接触破裂的容器和泄漏物。尽可能切断泄漏源。用塑料布覆盖泄漏物，减少飞散。勿使水进入包装容器内。用洁净的铲子收集泄漏物，置于干净、干燥、盖子较松的容器中，将容器移离泄漏区。</w:t>
            </w:r>
          </w:p>
        </w:tc>
      </w:tr>
    </w:tbl>
    <w:p>
      <w:pPr>
        <w:pStyle w:val="2"/>
        <w:rPr>
          <w:rFonts w:hint="eastAsia"/>
          <w:color w:val="auto"/>
          <w:lang w:eastAsia="zh-CN"/>
        </w:rPr>
      </w:pPr>
    </w:p>
    <w:p>
      <w:pPr>
        <w:spacing w:line="560" w:lineRule="exact"/>
        <w:jc w:val="center"/>
        <w:rPr>
          <w:rFonts w:hint="eastAsia" w:ascii="宋体" w:hAnsi="宋体" w:eastAsia="宋体"/>
          <w:b/>
          <w:color w:val="auto"/>
          <w:lang w:eastAsia="zh-CN"/>
        </w:rPr>
      </w:pPr>
      <w:r>
        <w:rPr>
          <w:rFonts w:ascii="宋体" w:hAnsi="宋体" w:eastAsia="宋体"/>
          <w:b/>
          <w:color w:val="auto"/>
        </w:rPr>
        <w:t>附表1-</w:t>
      </w:r>
      <w:r>
        <w:rPr>
          <w:rFonts w:hint="eastAsia" w:ascii="宋体" w:hAnsi="宋体" w:eastAsia="宋体"/>
          <w:b/>
          <w:color w:val="auto"/>
          <w:lang w:val="en-US" w:eastAsia="zh-CN"/>
        </w:rPr>
        <w:t xml:space="preserve">10 </w:t>
      </w:r>
      <w:r>
        <w:rPr>
          <w:rFonts w:hint="eastAsia" w:ascii="宋体" w:hAnsi="宋体" w:eastAsia="宋体"/>
          <w:b/>
          <w:color w:val="auto"/>
          <w:lang w:eastAsia="zh-CN"/>
        </w:rPr>
        <w:t>硫酸理化特性表</w:t>
      </w:r>
    </w:p>
    <w:tbl>
      <w:tblPr>
        <w:tblStyle w:val="46"/>
        <w:tblW w:w="9400"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549"/>
        <w:gridCol w:w="1373"/>
        <w:gridCol w:w="1047"/>
        <w:gridCol w:w="516"/>
        <w:gridCol w:w="449"/>
        <w:gridCol w:w="963"/>
        <w:gridCol w:w="1264"/>
        <w:gridCol w:w="184"/>
        <w:gridCol w:w="247"/>
        <w:gridCol w:w="703"/>
        <w:gridCol w:w="893"/>
        <w:gridCol w:w="1212"/>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标识</w:t>
            </w:r>
          </w:p>
        </w:tc>
        <w:tc>
          <w:tcPr>
            <w:tcW w:w="6043" w:type="dxa"/>
            <w:gridSpan w:val="8"/>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0"/>
                <w:sz w:val="21"/>
                <w:szCs w:val="21"/>
                <w:lang w:eastAsia="zh-TW"/>
              </w:rPr>
            </w:pPr>
            <w:r>
              <w:rPr>
                <w:rFonts w:hint="eastAsia" w:ascii="宋体" w:hAnsi="宋体" w:eastAsia="宋体" w:cs="宋体"/>
                <w:color w:val="auto"/>
                <w:kern w:val="2"/>
                <w:sz w:val="21"/>
                <w:szCs w:val="21"/>
                <w:lang w:eastAsia="zh-TW"/>
              </w:rPr>
              <w:t>中文名：</w:t>
            </w:r>
            <w:r>
              <w:rPr>
                <w:rFonts w:hint="eastAsia" w:ascii="宋体" w:hAnsi="宋体" w:eastAsia="宋体" w:cs="宋体"/>
                <w:color w:val="auto"/>
                <w:kern w:val="0"/>
                <w:sz w:val="21"/>
                <w:szCs w:val="21"/>
                <w:lang w:eastAsia="zh-TW"/>
              </w:rPr>
              <w:t>硫酸；磺漒水；硫漒</w:t>
            </w:r>
          </w:p>
        </w:tc>
        <w:tc>
          <w:tcPr>
            <w:tcW w:w="2808" w:type="dxa"/>
            <w:gridSpan w:val="3"/>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危险化学品目录序号：1302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p>
        </w:tc>
        <w:tc>
          <w:tcPr>
            <w:tcW w:w="6043" w:type="dxa"/>
            <w:gridSpan w:val="8"/>
            <w:tcBorders>
              <w:top w:val="nil"/>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英文名：</w:t>
            </w:r>
            <w:r>
              <w:rPr>
                <w:rFonts w:hint="eastAsia" w:ascii="宋体" w:hAnsi="宋体" w:eastAsia="宋体" w:cs="宋体"/>
                <w:color w:val="auto"/>
                <w:kern w:val="0"/>
                <w:sz w:val="21"/>
                <w:szCs w:val="21"/>
              </w:rPr>
              <w:t>Sulfuricacid</w:t>
            </w:r>
          </w:p>
        </w:tc>
        <w:tc>
          <w:tcPr>
            <w:tcW w:w="2808" w:type="dxa"/>
            <w:gridSpan w:val="3"/>
            <w:tcBorders>
              <w:top w:val="single" w:color="auto" w:sz="6" w:space="0"/>
              <w:left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UN编号：</w:t>
            </w:r>
            <w:r>
              <w:rPr>
                <w:rFonts w:hint="eastAsia" w:ascii="宋体" w:hAnsi="宋体" w:eastAsia="宋体" w:cs="宋体"/>
                <w:color w:val="auto"/>
                <w:kern w:val="0"/>
                <w:sz w:val="21"/>
                <w:szCs w:val="21"/>
              </w:rPr>
              <w:t>1830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338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840" w:right="0" w:hanging="840" w:hangingChars="40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分子式：</w:t>
            </w:r>
            <w:r>
              <w:rPr>
                <w:rFonts w:hint="eastAsia" w:ascii="宋体" w:hAnsi="宋体" w:eastAsia="宋体" w:cs="宋体"/>
                <w:color w:val="auto"/>
                <w:kern w:val="0"/>
                <w:sz w:val="21"/>
                <w:szCs w:val="21"/>
              </w:rPr>
              <w:t>H</w:t>
            </w:r>
            <w:r>
              <w:rPr>
                <w:rFonts w:hint="eastAsia" w:ascii="宋体" w:hAnsi="宋体" w:eastAsia="宋体" w:cs="宋体"/>
                <w:color w:val="auto"/>
                <w:kern w:val="0"/>
                <w:sz w:val="21"/>
                <w:szCs w:val="21"/>
                <w:vertAlign w:val="subscript"/>
              </w:rPr>
              <w:t>2</w:t>
            </w:r>
            <w:r>
              <w:rPr>
                <w:rFonts w:hint="eastAsia" w:ascii="宋体" w:hAnsi="宋体" w:eastAsia="宋体" w:cs="宋体"/>
                <w:color w:val="auto"/>
                <w:kern w:val="0"/>
                <w:sz w:val="21"/>
                <w:szCs w:val="21"/>
              </w:rPr>
              <w:t>SO</w:t>
            </w:r>
            <w:r>
              <w:rPr>
                <w:rFonts w:hint="eastAsia" w:ascii="宋体" w:hAnsi="宋体" w:eastAsia="宋体" w:cs="宋体"/>
                <w:color w:val="auto"/>
                <w:kern w:val="0"/>
                <w:sz w:val="21"/>
                <w:szCs w:val="21"/>
                <w:vertAlign w:val="subscript"/>
              </w:rPr>
              <w:t>4</w:t>
            </w:r>
          </w:p>
        </w:tc>
        <w:tc>
          <w:tcPr>
            <w:tcW w:w="2658"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0"/>
                <w:sz w:val="21"/>
                <w:szCs w:val="21"/>
              </w:rPr>
            </w:pPr>
            <w:r>
              <w:rPr>
                <w:rFonts w:hint="eastAsia" w:ascii="宋体" w:hAnsi="宋体" w:eastAsia="宋体" w:cs="宋体"/>
                <w:color w:val="auto"/>
                <w:kern w:val="2"/>
                <w:sz w:val="21"/>
                <w:szCs w:val="21"/>
              </w:rPr>
              <w:t>分子量：</w:t>
            </w:r>
            <w:r>
              <w:rPr>
                <w:rFonts w:hint="eastAsia" w:ascii="宋体" w:hAnsi="宋体" w:eastAsia="宋体" w:cs="宋体"/>
                <w:color w:val="auto"/>
                <w:kern w:val="0"/>
                <w:sz w:val="21"/>
                <w:szCs w:val="21"/>
              </w:rPr>
              <w:t>98.08</w:t>
            </w:r>
          </w:p>
        </w:tc>
        <w:tc>
          <w:tcPr>
            <w:tcW w:w="2808"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CAS号：</w:t>
            </w:r>
            <w:r>
              <w:rPr>
                <w:rFonts w:hint="eastAsia" w:ascii="宋体" w:hAnsi="宋体" w:eastAsia="宋体" w:cs="宋体"/>
                <w:color w:val="auto"/>
                <w:kern w:val="0"/>
                <w:sz w:val="21"/>
                <w:szCs w:val="21"/>
              </w:rPr>
              <w:t>7664-93-9</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理化性质</w:t>
            </w:r>
          </w:p>
        </w:tc>
        <w:tc>
          <w:tcPr>
            <w:tcW w:w="1373"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外观与性状</w:t>
            </w:r>
          </w:p>
        </w:tc>
        <w:tc>
          <w:tcPr>
            <w:tcW w:w="7478"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纯品为无色透明油状液体，无臭。</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主要用途</w:t>
            </w:r>
          </w:p>
        </w:tc>
        <w:tc>
          <w:tcPr>
            <w:tcW w:w="7478" w:type="dxa"/>
            <w:gridSpan w:val="10"/>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用于生产化学肥料，在化工、医药、塑料、染料、石油提炼等工业也有广泛的应用。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熔点(℃)</w:t>
            </w:r>
          </w:p>
        </w:tc>
        <w:tc>
          <w:tcPr>
            <w:tcW w:w="1047" w:type="dxa"/>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3～10</w:t>
            </w:r>
          </w:p>
        </w:tc>
        <w:tc>
          <w:tcPr>
            <w:tcW w:w="1928" w:type="dxa"/>
            <w:gridSpan w:val="3"/>
            <w:tcBorders>
              <w:top w:val="single" w:color="auto" w:sz="6" w:space="0"/>
              <w:left w:val="single" w:color="auto" w:sz="6"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相对密度(水=1)</w:t>
            </w:r>
          </w:p>
        </w:tc>
        <w:tc>
          <w:tcPr>
            <w:tcW w:w="1264" w:type="dxa"/>
            <w:tcBorders>
              <w:top w:val="single" w:color="auto" w:sz="6" w:space="0"/>
              <w:left w:val="single" w:color="auto" w:sz="4"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1.6～1.84</w:t>
            </w:r>
          </w:p>
        </w:tc>
        <w:tc>
          <w:tcPr>
            <w:tcW w:w="2027"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相对密度(空气=1)</w:t>
            </w:r>
          </w:p>
        </w:tc>
        <w:tc>
          <w:tcPr>
            <w:tcW w:w="1212"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3.4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沸点(℃)</w:t>
            </w:r>
          </w:p>
        </w:tc>
        <w:tc>
          <w:tcPr>
            <w:tcW w:w="2975" w:type="dxa"/>
            <w:gridSpan w:val="4"/>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630" w:firstLineChars="30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315～338</w:t>
            </w:r>
          </w:p>
        </w:tc>
        <w:tc>
          <w:tcPr>
            <w:tcW w:w="2398" w:type="dxa"/>
            <w:gridSpan w:val="4"/>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17" w:leftChars="7"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饱和蒸气压(kPa)</w:t>
            </w:r>
          </w:p>
        </w:tc>
        <w:tc>
          <w:tcPr>
            <w:tcW w:w="2105"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17" w:leftChars="7" w:right="0"/>
              <w:jc w:val="center"/>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0.13(145.8℃)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温度、压力</w:t>
            </w:r>
          </w:p>
        </w:tc>
        <w:tc>
          <w:tcPr>
            <w:tcW w:w="1563"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临界温度(℃)</w:t>
            </w:r>
          </w:p>
        </w:tc>
        <w:tc>
          <w:tcPr>
            <w:tcW w:w="1412" w:type="dxa"/>
            <w:gridSpan w:val="2"/>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46" w:leftChars="-19" w:right="0" w:firstLine="315" w:firstLineChars="15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2398" w:type="dxa"/>
            <w:gridSpan w:val="4"/>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临界压力(MPa)：</w:t>
            </w:r>
          </w:p>
        </w:tc>
        <w:tc>
          <w:tcPr>
            <w:tcW w:w="2105"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420" w:firstLineChars="20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溶解性</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与水混溶。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毒性及健康危害</w:t>
            </w:r>
          </w:p>
        </w:tc>
        <w:tc>
          <w:tcPr>
            <w:tcW w:w="1373" w:type="dxa"/>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侵入途径</w:t>
            </w:r>
          </w:p>
        </w:tc>
        <w:tc>
          <w:tcPr>
            <w:tcW w:w="7478" w:type="dxa"/>
            <w:gridSpan w:val="10"/>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毒性</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7"/>
                <w:rFonts w:hint="eastAsia" w:ascii="宋体" w:hAnsi="宋体" w:eastAsia="宋体" w:cs="宋体"/>
                <w:color w:val="auto"/>
                <w:kern w:val="2"/>
                <w:sz w:val="21"/>
                <w:szCs w:val="21"/>
              </w:rPr>
              <w:t>大鼠经口LD</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(mg/kg)</w:t>
            </w:r>
            <w:r>
              <w:rPr>
                <w:rStyle w:val="246"/>
                <w:rFonts w:hint="eastAsia" w:ascii="宋体" w:hAnsi="宋体" w:eastAsia="宋体" w:cs="宋体"/>
                <w:color w:val="auto"/>
                <w:kern w:val="2"/>
                <w:sz w:val="21"/>
                <w:szCs w:val="21"/>
              </w:rPr>
              <w:t>:2140;</w:t>
            </w:r>
            <w:r>
              <w:rPr>
                <w:rStyle w:val="247"/>
                <w:rFonts w:hint="eastAsia" w:ascii="宋体" w:hAnsi="宋体" w:eastAsia="宋体" w:cs="宋体"/>
                <w:color w:val="auto"/>
                <w:kern w:val="2"/>
                <w:sz w:val="21"/>
                <w:szCs w:val="21"/>
              </w:rPr>
              <w:t>大鼠吸入LC</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(mg/m</w:t>
            </w:r>
            <w:r>
              <w:rPr>
                <w:rStyle w:val="247"/>
                <w:rFonts w:hint="eastAsia" w:ascii="宋体" w:hAnsi="宋体" w:eastAsia="宋体" w:cs="宋体"/>
                <w:color w:val="auto"/>
                <w:kern w:val="2"/>
                <w:sz w:val="21"/>
                <w:szCs w:val="21"/>
                <w:vertAlign w:val="superscript"/>
              </w:rPr>
              <w:t>3</w:t>
            </w:r>
            <w:r>
              <w:rPr>
                <w:rStyle w:val="247"/>
                <w:rFonts w:hint="eastAsia" w:ascii="宋体" w:hAnsi="宋体" w:eastAsia="宋体" w:cs="宋体"/>
                <w:color w:val="auto"/>
                <w:kern w:val="2"/>
                <w:sz w:val="21"/>
                <w:szCs w:val="21"/>
              </w:rPr>
              <w:t>)</w:t>
            </w:r>
            <w:r>
              <w:rPr>
                <w:rStyle w:val="246"/>
                <w:rFonts w:hint="eastAsia" w:ascii="宋体" w:hAnsi="宋体" w:eastAsia="宋体" w:cs="宋体"/>
                <w:color w:val="auto"/>
                <w:kern w:val="2"/>
                <w:sz w:val="21"/>
                <w:szCs w:val="21"/>
              </w:rPr>
              <w:t>:510mg/m</w:t>
            </w:r>
            <w:r>
              <w:rPr>
                <w:rStyle w:val="246"/>
                <w:rFonts w:hint="eastAsia" w:ascii="宋体" w:hAnsi="宋体" w:eastAsia="宋体" w:cs="宋体"/>
                <w:color w:val="auto"/>
                <w:kern w:val="2"/>
                <w:sz w:val="21"/>
                <w:szCs w:val="21"/>
                <w:vertAlign w:val="superscript"/>
              </w:rPr>
              <w:t>3</w:t>
            </w:r>
            <w:r>
              <w:rPr>
                <w:rStyle w:val="246"/>
                <w:rFonts w:hint="eastAsia" w:ascii="宋体" w:hAnsi="宋体" w:eastAsia="宋体" w:cs="宋体"/>
                <w:color w:val="auto"/>
                <w:kern w:val="2"/>
                <w:sz w:val="21"/>
                <w:szCs w:val="21"/>
              </w:rPr>
              <w:t>，2小时;</w:t>
            </w:r>
          </w:p>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7"/>
                <w:rFonts w:hint="eastAsia" w:ascii="宋体" w:hAnsi="宋体" w:eastAsia="宋体" w:cs="宋体"/>
                <w:color w:val="auto"/>
                <w:kern w:val="2"/>
                <w:sz w:val="21"/>
                <w:szCs w:val="21"/>
              </w:rPr>
              <w:t>小鼠吸入LC</w:t>
            </w:r>
            <w:r>
              <w:rPr>
                <w:rStyle w:val="247"/>
                <w:rFonts w:hint="eastAsia" w:ascii="宋体" w:hAnsi="宋体" w:eastAsia="宋体" w:cs="宋体"/>
                <w:color w:val="auto"/>
                <w:kern w:val="2"/>
                <w:sz w:val="21"/>
                <w:szCs w:val="21"/>
                <w:vertAlign w:val="subscript"/>
              </w:rPr>
              <w:t>50</w:t>
            </w:r>
            <w:r>
              <w:rPr>
                <w:rStyle w:val="247"/>
                <w:rFonts w:hint="eastAsia" w:ascii="宋体" w:hAnsi="宋体" w:eastAsia="宋体" w:cs="宋体"/>
                <w:color w:val="auto"/>
                <w:kern w:val="2"/>
                <w:sz w:val="21"/>
                <w:szCs w:val="21"/>
              </w:rPr>
              <w:t>(mg/m</w:t>
            </w:r>
            <w:r>
              <w:rPr>
                <w:rStyle w:val="247"/>
                <w:rFonts w:hint="eastAsia" w:ascii="宋体" w:hAnsi="宋体" w:eastAsia="宋体" w:cs="宋体"/>
                <w:color w:val="auto"/>
                <w:kern w:val="2"/>
                <w:sz w:val="21"/>
                <w:szCs w:val="21"/>
                <w:vertAlign w:val="superscript"/>
              </w:rPr>
              <w:t>3</w:t>
            </w:r>
            <w:r>
              <w:rPr>
                <w:rStyle w:val="247"/>
                <w:rFonts w:hint="eastAsia" w:ascii="宋体" w:hAnsi="宋体" w:eastAsia="宋体" w:cs="宋体"/>
                <w:color w:val="auto"/>
                <w:kern w:val="2"/>
                <w:sz w:val="21"/>
                <w:szCs w:val="21"/>
              </w:rPr>
              <w:t>)</w:t>
            </w:r>
            <w:r>
              <w:rPr>
                <w:rStyle w:val="246"/>
                <w:rFonts w:hint="eastAsia" w:ascii="宋体" w:hAnsi="宋体" w:eastAsia="宋体" w:cs="宋体"/>
                <w:color w:val="auto"/>
                <w:kern w:val="2"/>
                <w:sz w:val="21"/>
                <w:szCs w:val="21"/>
              </w:rPr>
              <w:t>:320mg/m</w:t>
            </w:r>
            <w:r>
              <w:rPr>
                <w:rStyle w:val="246"/>
                <w:rFonts w:hint="eastAsia" w:ascii="宋体" w:hAnsi="宋体" w:eastAsia="宋体" w:cs="宋体"/>
                <w:color w:val="auto"/>
                <w:kern w:val="2"/>
                <w:sz w:val="21"/>
                <w:szCs w:val="21"/>
                <w:vertAlign w:val="superscript"/>
              </w:rPr>
              <w:t>3</w:t>
            </w:r>
            <w:r>
              <w:rPr>
                <w:rStyle w:val="246"/>
                <w:rFonts w:hint="eastAsia" w:ascii="宋体" w:hAnsi="宋体" w:eastAsia="宋体" w:cs="宋体"/>
                <w:color w:val="auto"/>
                <w:kern w:val="2"/>
                <w:sz w:val="21"/>
                <w:szCs w:val="21"/>
              </w:rPr>
              <w:t>，2小时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危险性类别</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皮肤腐蚀/刺激,类别1A；严重眼损伤/眼刺激,类别1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健康危害</w:t>
            </w:r>
          </w:p>
        </w:tc>
        <w:tc>
          <w:tcPr>
            <w:tcW w:w="7478" w:type="dxa"/>
            <w:gridSpan w:val="10"/>
            <w:tcBorders>
              <w:top w:val="single" w:color="auto" w:sz="6" w:space="0"/>
              <w:left w:val="single" w:color="auto" w:sz="6" w:space="0"/>
              <w:bottom w:val="single" w:color="auto" w:sz="4"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对皮肤、粘膜等组织有强烈的刺激和腐蚀作用。蒸气或雾可引起结膜炎、结膜水肿、角膜混浊，以致失明；引起呼吸道刺激，重者发生呼吸困难和肺水肿；高浓度引起喉痉挛或声门水肿而窒息死亡。口服后引起消化道烧伤以致溃疡形成；严重者可能有胃穿孔、腹膜炎、肾损害、休克等。皮肤灼伤轻者出现红斑、重者形成溃疡，愈后癍痕收缩影响功能。溅入眼内可造成灼伤，甚至角膜穿孔、全眼炎以至失明。</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慢性影响：牙齿酸蚀症、慢性支气管炎、肺气肿和肺硬化。</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急救方法</w:t>
            </w:r>
          </w:p>
        </w:tc>
        <w:tc>
          <w:tcPr>
            <w:tcW w:w="7478"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皮肤接触：立即脱去污染的衣着，用大量流动清水冲洗20～30分钟。如有不适感，就医。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眼睛接触：立即提起眼睑，用大量流动清水或生理盐水彻底冲洗10～15分钟。如有不适感，就医。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吸　　入：迅速脱离现场至空气新鲜处。保持呼吸道通畅。如呼吸困难，给输氧。呼吸、心跳停止，立即进行心肺复苏术。就医。</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食　　入：用水漱口，给饮牛奶或蛋清。就医。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4"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bCs/>
                <w:color w:val="auto"/>
                <w:kern w:val="0"/>
                <w:sz w:val="21"/>
                <w:szCs w:val="21"/>
              </w:rPr>
              <w:t>防护措施</w:t>
            </w:r>
          </w:p>
        </w:tc>
        <w:tc>
          <w:tcPr>
            <w:tcW w:w="7478" w:type="dxa"/>
            <w:gridSpan w:val="10"/>
            <w:tcBorders>
              <w:top w:val="single" w:color="auto" w:sz="4"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工程控制：密闭操作，注意通风。提供安全淋浴和洗眼设备。</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呼吸系统防护：可能接触其烟雾时，佩戴过滤式防毒面具(全面罩)或空气呼吸器。紧急事态抢救或撤离时，建议佩戴空气呼吸器。眼睛防护：呼吸系统防护中已作防护。身体防护：穿橡胶耐酸碱服。手防护：戴橡胶耐酸碱手套。</w:t>
            </w:r>
          </w:p>
          <w:p>
            <w:pPr>
              <w:keepNext w:val="0"/>
              <w:keepLines w:val="0"/>
              <w:suppressLineNumbers w:val="0"/>
              <w:spacing w:before="0" w:beforeAutospacing="0" w:after="0" w:afterAutospacing="0" w:line="240" w:lineRule="auto"/>
              <w:ind w:left="0" w:right="0"/>
              <w:rPr>
                <w:rStyle w:val="246"/>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其他防护：工作现场禁止吸烟、进食和饮水。工作完毕，淋浴更衣。单独存放被毒物污染的衣服，洗后备用。保持良好的卫生习惯。</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燃烧爆炸危险性</w:t>
            </w: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燃烧性</w:t>
            </w:r>
          </w:p>
        </w:tc>
        <w:tc>
          <w:tcPr>
            <w:tcW w:w="2012"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241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燃烧分解物</w:t>
            </w:r>
          </w:p>
        </w:tc>
        <w:tc>
          <w:tcPr>
            <w:tcW w:w="305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闪点(℃)</w:t>
            </w:r>
          </w:p>
        </w:tc>
        <w:tc>
          <w:tcPr>
            <w:tcW w:w="2012"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c>
          <w:tcPr>
            <w:tcW w:w="241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爆炸上限%(v%)：</w:t>
            </w:r>
          </w:p>
        </w:tc>
        <w:tc>
          <w:tcPr>
            <w:tcW w:w="305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100" w:beforeAutospacing="1" w:after="100" w:afterAutospacing="1" w:line="240" w:lineRule="auto"/>
              <w:ind w:left="0" w:right="0"/>
              <w:jc w:val="center"/>
              <w:rPr>
                <w:rFonts w:hint="eastAsia" w:ascii="宋体" w:hAnsi="宋体" w:eastAsia="宋体" w:cs="宋体"/>
                <w:color w:val="auto"/>
                <w:spacing w:val="-20"/>
                <w:kern w:val="2"/>
                <w:sz w:val="21"/>
                <w:szCs w:val="21"/>
              </w:rPr>
            </w:pPr>
            <w:r>
              <w:rPr>
                <w:rFonts w:hint="eastAsia" w:ascii="宋体" w:hAnsi="宋体" w:eastAsia="宋体" w:cs="宋体"/>
                <w:color w:val="auto"/>
                <w:spacing w:val="-20"/>
                <w:kern w:val="2"/>
                <w:sz w:val="21"/>
                <w:szCs w:val="21"/>
              </w:rPr>
              <w:t>自燃温度(℃)</w:t>
            </w:r>
          </w:p>
        </w:tc>
        <w:tc>
          <w:tcPr>
            <w:tcW w:w="2012" w:type="dxa"/>
            <w:gridSpan w:val="3"/>
            <w:tcBorders>
              <w:top w:val="single" w:color="auto" w:sz="6" w:space="0"/>
              <w:left w:val="single" w:color="auto" w:sz="4"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w:t>
            </w:r>
          </w:p>
        </w:tc>
        <w:tc>
          <w:tcPr>
            <w:tcW w:w="2411"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爆炸下限%(v%)：</w:t>
            </w:r>
          </w:p>
        </w:tc>
        <w:tc>
          <w:tcPr>
            <w:tcW w:w="3055"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危险特性</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遇水大量放热,可发生沸溅。与易燃物(如苯)和可燃物(如糖、纤维素等)接触会发生剧烈反应，甚至引起燃烧。遇电石、高氯酸盐、雷酸盐、硝酸盐、苦味酸盐、金属粉末等猛烈反应，发生爆炸或燃烧。有强烈的腐蚀性和吸水性。</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包装与储运</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耐酸坛或陶瓷瓶外普通木箱或半花格木箱；磨砂口玻璃瓶或螺纹口玻璃瓶外普通木箱。储存于阴凉、通风的库房。保持容器密封。应与易(可)燃物、还原剂、碱类、碱金属、食用化学品分开存放，切忌混储。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0"/>
                <w:sz w:val="21"/>
                <w:szCs w:val="21"/>
              </w:rPr>
              <w:t>禁忌物</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碱类、强还原剂、易燃或可燃物、电石、高氯酸盐、雷酸盐、硝酸盐、苦味酸盐、金属粉末等。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灭火方法</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Style w:val="246"/>
                <w:rFonts w:hint="eastAsia" w:ascii="宋体" w:hAnsi="宋体" w:eastAsia="宋体" w:cs="宋体"/>
                <w:color w:val="auto"/>
                <w:kern w:val="2"/>
                <w:sz w:val="21"/>
                <w:szCs w:val="21"/>
              </w:rPr>
              <w:t>本品不燃。根据着火原因选择适当灭火剂灭火。</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49" w:type="dxa"/>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jc w:val="left"/>
              <w:rPr>
                <w:rFonts w:hint="eastAsia" w:ascii="宋体" w:hAnsi="宋体" w:eastAsia="宋体" w:cs="宋体"/>
                <w:color w:val="auto"/>
                <w:kern w:val="2"/>
                <w:sz w:val="21"/>
                <w:szCs w:val="21"/>
              </w:rPr>
            </w:pPr>
          </w:p>
        </w:tc>
        <w:tc>
          <w:tcPr>
            <w:tcW w:w="137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adjustRightInd w:val="0"/>
              <w:spacing w:before="0" w:beforeAutospacing="0" w:after="0" w:afterAutospacing="0" w:line="240" w:lineRule="auto"/>
              <w:ind w:left="0" w:right="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泄漏处置</w:t>
            </w:r>
          </w:p>
        </w:tc>
        <w:tc>
          <w:tcPr>
            <w:tcW w:w="7478" w:type="dxa"/>
            <w:gridSpan w:val="10"/>
            <w:tcBorders>
              <w:top w:val="single" w:color="auto" w:sz="6" w:space="0"/>
              <w:left w:val="single" w:color="auto" w:sz="6" w:space="0"/>
              <w:bottom w:val="single" w:color="auto" w:sz="6" w:space="0"/>
              <w:right w:val="single" w:color="auto" w:sz="6" w:space="0"/>
            </w:tcBorders>
            <w:noWrap w:val="0"/>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0"/>
                <w:sz w:val="21"/>
                <w:szCs w:val="21"/>
              </w:rPr>
            </w:pPr>
            <w:r>
              <w:rPr>
                <w:rStyle w:val="246"/>
                <w:rFonts w:hint="eastAsia" w:ascii="宋体" w:hAnsi="宋体" w:eastAsia="宋体" w:cs="宋体"/>
                <w:color w:val="auto"/>
                <w:kern w:val="2"/>
                <w:sz w:val="21"/>
                <w:szCs w:val="21"/>
              </w:rPr>
              <w:t>根据液体流动和蒸气扩散的影响区域划定警戒区，无关人员从侧风、上风向撤离至安全区。建议应急处理人员戴正压自给式呼吸器，穿防酸碱服。穿上适当的防护服前严禁接触破裂的容器和泄漏物。尽可能切断泄漏源。勿使泄漏物与可燃物质(如木材、纸、油等)接触。防止泄漏物进入水体、下水道、地下室或密闭性空间。小量泄漏：用干燥的砂土或其它不燃材料覆盖泄漏物，用洁净的无火花工具收集泄漏物，置于一盖子较松的塑料容器中，待处置。大量泄漏：构筑围堤或挖坑收容。用飞尘或石灰粉吸收大量液体。用农用石灰(CaO)、碎石灰石(CaCO</w:t>
            </w:r>
            <w:r>
              <w:rPr>
                <w:rStyle w:val="246"/>
                <w:rFonts w:hint="eastAsia" w:ascii="宋体" w:hAnsi="宋体" w:eastAsia="宋体" w:cs="宋体"/>
                <w:color w:val="auto"/>
                <w:kern w:val="2"/>
                <w:sz w:val="21"/>
                <w:szCs w:val="21"/>
                <w:vertAlign w:val="subscript"/>
              </w:rPr>
              <w:t>3</w:t>
            </w:r>
            <w:r>
              <w:rPr>
                <w:rStyle w:val="246"/>
                <w:rFonts w:hint="eastAsia" w:ascii="宋体" w:hAnsi="宋体" w:eastAsia="宋体" w:cs="宋体"/>
                <w:color w:val="auto"/>
                <w:kern w:val="2"/>
                <w:sz w:val="21"/>
                <w:szCs w:val="21"/>
              </w:rPr>
              <w:t>)或碳酸氢钠(NaHCO</w:t>
            </w:r>
            <w:r>
              <w:rPr>
                <w:rStyle w:val="246"/>
                <w:rFonts w:hint="eastAsia" w:ascii="宋体" w:hAnsi="宋体" w:eastAsia="宋体" w:cs="宋体"/>
                <w:color w:val="auto"/>
                <w:kern w:val="2"/>
                <w:sz w:val="21"/>
                <w:szCs w:val="21"/>
                <w:vertAlign w:val="subscript"/>
              </w:rPr>
              <w:t>3</w:t>
            </w:r>
            <w:r>
              <w:rPr>
                <w:rStyle w:val="246"/>
                <w:rFonts w:hint="eastAsia" w:ascii="宋体" w:hAnsi="宋体" w:eastAsia="宋体" w:cs="宋体"/>
                <w:color w:val="auto"/>
                <w:kern w:val="2"/>
                <w:sz w:val="21"/>
                <w:szCs w:val="21"/>
              </w:rPr>
              <w:t>)中和。用耐腐蚀泵转移至槽车或专用收集器内。</w:t>
            </w:r>
          </w:p>
        </w:tc>
      </w:tr>
    </w:tbl>
    <w:p>
      <w:pPr>
        <w:pStyle w:val="2"/>
        <w:rPr>
          <w:rFonts w:hint="eastAsia"/>
          <w:color w:val="auto"/>
          <w:lang w:eastAsia="zh-CN"/>
        </w:rPr>
      </w:pP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55" w:name="_Toc14197"/>
      <w:bookmarkStart w:id="156" w:name="bookmark112"/>
      <w:r>
        <w:rPr>
          <w:rFonts w:ascii="楷体_GB2312" w:hAnsi="Times New Roman" w:eastAsia="楷体_GB2312" w:cs="Times New Roman"/>
          <w:bCs/>
          <w:color w:val="auto"/>
          <w:kern w:val="2"/>
          <w:sz w:val="32"/>
          <w:lang w:val="en-US" w:eastAsia="zh-CN" w:bidi="ar-SA"/>
        </w:rPr>
        <w:t>附件1.</w:t>
      </w:r>
      <w:r>
        <w:rPr>
          <w:rFonts w:hint="eastAsia" w:ascii="楷体_GB2312" w:hAnsi="Times New Roman" w:eastAsia="楷体_GB2312" w:cs="Times New Roman"/>
          <w:bCs/>
          <w:color w:val="auto"/>
          <w:kern w:val="2"/>
          <w:sz w:val="32"/>
          <w:lang w:val="en-US" w:eastAsia="zh-CN" w:bidi="ar-SA"/>
        </w:rPr>
        <w:t>2</w:t>
      </w:r>
      <w:r>
        <w:rPr>
          <w:rFonts w:ascii="楷体_GB2312" w:hAnsi="Times New Roman" w:eastAsia="楷体_GB2312" w:cs="Times New Roman"/>
          <w:bCs/>
          <w:color w:val="auto"/>
          <w:kern w:val="2"/>
          <w:sz w:val="32"/>
          <w:lang w:val="en-US" w:eastAsia="zh-CN" w:bidi="ar-SA"/>
        </w:rPr>
        <w:t>生产、储存过程危险、有害因素辨识</w:t>
      </w:r>
      <w:bookmarkEnd w:id="155"/>
      <w:bookmarkEnd w:id="156"/>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参照GB6441-1986《企业职工伤亡事故分类》的规定，综合考虑起因物、致害物和致害方式，通过分析该公司危险化学品生产过程，确定其存在的主要危险有害因素有：火灾爆炸</w:t>
      </w:r>
      <w:r>
        <w:rPr>
          <w:rFonts w:hint="eastAsia" w:ascii="宋体" w:hAnsi="宋体" w:eastAsia="宋体"/>
          <w:color w:val="auto"/>
          <w:sz w:val="28"/>
          <w:szCs w:val="28"/>
        </w:rPr>
        <w:t>、中毒和窒息、触电、机械伤害、灼烫、高处坠落、车辆伤害、物体打击、粉尘危害、噪声等。其中</w:t>
      </w:r>
      <w:r>
        <w:rPr>
          <w:rFonts w:ascii="宋体" w:hAnsi="宋体" w:eastAsia="宋体"/>
          <w:color w:val="auto"/>
          <w:sz w:val="28"/>
          <w:szCs w:val="28"/>
        </w:rPr>
        <w:t>火灾爆炸、</w:t>
      </w:r>
      <w:r>
        <w:rPr>
          <w:rFonts w:hint="eastAsia" w:ascii="宋体" w:hAnsi="宋体" w:eastAsia="宋体"/>
          <w:color w:val="auto"/>
          <w:sz w:val="28"/>
          <w:szCs w:val="28"/>
        </w:rPr>
        <w:t>中毒和窒息为最主要危险有害因素。</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57" w:name="bookmark113"/>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.1火灾爆炸</w:t>
      </w:r>
      <w:bookmarkEnd w:id="157"/>
    </w:p>
    <w:p>
      <w:pPr>
        <w:spacing w:line="560" w:lineRule="exact"/>
        <w:ind w:firstLine="425" w:firstLineChars="152"/>
        <w:jc w:val="both"/>
        <w:rPr>
          <w:rFonts w:hint="default" w:ascii="宋体" w:hAnsi="宋体" w:eastAsia="宋体"/>
          <w:color w:val="auto"/>
          <w:sz w:val="28"/>
          <w:szCs w:val="28"/>
        </w:rPr>
      </w:pPr>
      <w:r>
        <w:rPr>
          <w:rFonts w:hint="eastAsia" w:ascii="宋体" w:hAnsi="宋体" w:eastAsia="宋体"/>
          <w:color w:val="auto"/>
          <w:sz w:val="28"/>
          <w:szCs w:val="28"/>
        </w:rPr>
        <w:t>该企业在生产过程中使用环己烷、乙醇</w:t>
      </w:r>
      <w:r>
        <w:rPr>
          <w:rFonts w:ascii="宋体" w:hAnsi="宋体" w:eastAsia="宋体"/>
          <w:color w:val="auto"/>
          <w:sz w:val="28"/>
          <w:szCs w:val="28"/>
        </w:rPr>
        <w:t>[</w:t>
      </w:r>
      <w:r>
        <w:rPr>
          <w:rFonts w:hint="eastAsia" w:ascii="宋体" w:hAnsi="宋体" w:eastAsia="宋体"/>
          <w:color w:val="auto"/>
          <w:sz w:val="28"/>
          <w:szCs w:val="28"/>
        </w:rPr>
        <w:t>无水</w:t>
      </w:r>
      <w:r>
        <w:rPr>
          <w:rFonts w:ascii="宋体" w:hAnsi="宋体" w:eastAsia="宋体"/>
          <w:color w:val="auto"/>
          <w:sz w:val="28"/>
          <w:szCs w:val="28"/>
        </w:rPr>
        <w:t>]</w:t>
      </w: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丙醇等易燃易爆液体，如果在投料、搬运、卸料等过程中，发生物料泄漏，高闪点液体蒸气与空气形成爆炸性混合物，在遇高温高热、明火或其它火花，会引起火灾或爆炸</w:t>
      </w:r>
      <w:r>
        <w:rPr>
          <w:rFonts w:hint="default" w:ascii="宋体" w:hAnsi="宋体" w:eastAsia="宋体"/>
          <w:color w:val="auto"/>
          <w:sz w:val="28"/>
          <w:szCs w:val="28"/>
        </w:rPr>
        <w:t>。</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发生火灾必须同时具备三个条件：可燃物、助燃物、点火源。空气中含有大量的助燃物氧气，因此，生产工艺过程中只要存在可燃物，特别是高闪点液体蒸汽与空气形成的爆炸性混合物，在有火源或高温的情况下就会引起燃烧或爆炸。</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1)可燃物及爆炸性混合物的形成</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1)生产工艺过程使用的危险物质。如前所述，该工艺过程中大量使用</w:t>
      </w:r>
      <w:r>
        <w:rPr>
          <w:rFonts w:hint="eastAsia" w:ascii="宋体" w:hAnsi="宋体" w:eastAsia="宋体"/>
          <w:color w:val="auto"/>
          <w:sz w:val="28"/>
          <w:szCs w:val="28"/>
        </w:rPr>
        <w:t>易燃易爆</w:t>
      </w:r>
      <w:r>
        <w:rPr>
          <w:rFonts w:ascii="宋体" w:hAnsi="宋体" w:eastAsia="宋体"/>
          <w:color w:val="auto"/>
          <w:sz w:val="28"/>
          <w:szCs w:val="28"/>
        </w:rPr>
        <w:t>液体，</w:t>
      </w:r>
      <w:r>
        <w:rPr>
          <w:rFonts w:hint="eastAsia" w:ascii="宋体" w:hAnsi="宋体" w:eastAsia="宋体"/>
          <w:color w:val="auto"/>
          <w:sz w:val="28"/>
          <w:szCs w:val="28"/>
        </w:rPr>
        <w:t>其</w:t>
      </w:r>
      <w:r>
        <w:rPr>
          <w:rFonts w:ascii="宋体" w:hAnsi="宋体" w:eastAsia="宋体"/>
          <w:color w:val="auto"/>
          <w:sz w:val="28"/>
          <w:szCs w:val="28"/>
        </w:rPr>
        <w:t>成品</w:t>
      </w:r>
      <w:r>
        <w:rPr>
          <w:rFonts w:hint="eastAsia" w:ascii="宋体" w:hAnsi="宋体" w:eastAsia="宋体"/>
          <w:color w:val="auto"/>
          <w:sz w:val="28"/>
          <w:szCs w:val="28"/>
        </w:rPr>
        <w:t>助焊剂、清洗剂等同样</w:t>
      </w:r>
      <w:r>
        <w:rPr>
          <w:rFonts w:ascii="宋体" w:hAnsi="宋体" w:eastAsia="宋体"/>
          <w:color w:val="auto"/>
          <w:sz w:val="28"/>
          <w:szCs w:val="28"/>
        </w:rPr>
        <w:t>具有易燃易爆的危险特性。</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2)投料操作不当可使物料倾洒到地面，搅拌配置不合理，操作不正确可造成物料飞溅出去，搬运装卸不按要求作业可能使容器破损泄漏，作业过程中</w:t>
      </w:r>
      <w:r>
        <w:rPr>
          <w:rFonts w:hint="eastAsia" w:ascii="宋体" w:hAnsi="宋体" w:eastAsia="宋体"/>
          <w:color w:val="auto"/>
          <w:sz w:val="28"/>
          <w:szCs w:val="28"/>
        </w:rPr>
        <w:t>搅拌桶等</w:t>
      </w:r>
      <w:r>
        <w:rPr>
          <w:rFonts w:ascii="宋体" w:hAnsi="宋体" w:eastAsia="宋体"/>
          <w:color w:val="auto"/>
          <w:sz w:val="28"/>
          <w:szCs w:val="28"/>
        </w:rPr>
        <w:t>破损，可导致易燃物跑、冒、滴、漏，另外，包装过程中人为的疏忽可导致物料流失或满桶溢出。</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3)爆炸性混合气体的产生。工艺过程所用物料是</w:t>
      </w:r>
      <w:r>
        <w:rPr>
          <w:rFonts w:hint="eastAsia" w:ascii="宋体" w:hAnsi="宋体" w:eastAsia="宋体"/>
          <w:color w:val="auto"/>
          <w:sz w:val="28"/>
          <w:szCs w:val="28"/>
        </w:rPr>
        <w:t>甲、乙</w:t>
      </w:r>
      <w:r>
        <w:rPr>
          <w:rFonts w:ascii="宋体" w:hAnsi="宋体" w:eastAsia="宋体"/>
          <w:color w:val="auto"/>
          <w:sz w:val="28"/>
          <w:szCs w:val="28"/>
        </w:rPr>
        <w:t>类易燃液体，挥发性强，爆炸下限低，爆炸范围较广。生产过程中配料、投料、分散、抽取溶剂时，如果容器不密封</w:t>
      </w:r>
      <w:r>
        <w:rPr>
          <w:rFonts w:hint="eastAsia" w:ascii="宋体" w:hAnsi="宋体" w:eastAsia="宋体"/>
          <w:color w:val="auto"/>
          <w:sz w:val="28"/>
          <w:szCs w:val="28"/>
        </w:rPr>
        <w:t>或有泄漏</w:t>
      </w:r>
      <w:r>
        <w:rPr>
          <w:rFonts w:ascii="宋体" w:hAnsi="宋体" w:eastAsia="宋体"/>
          <w:color w:val="auto"/>
          <w:sz w:val="28"/>
          <w:szCs w:val="28"/>
        </w:rPr>
        <w:t>，</w:t>
      </w:r>
      <w:r>
        <w:rPr>
          <w:rFonts w:hint="eastAsia" w:ascii="宋体" w:hAnsi="宋体" w:eastAsia="宋体"/>
          <w:color w:val="auto"/>
          <w:sz w:val="28"/>
          <w:szCs w:val="28"/>
        </w:rPr>
        <w:t>泄漏的易燃液体和挥发出的可燃整</w:t>
      </w:r>
      <w:r>
        <w:rPr>
          <w:rFonts w:ascii="宋体" w:hAnsi="宋体" w:eastAsia="宋体"/>
          <w:color w:val="auto"/>
          <w:sz w:val="28"/>
          <w:szCs w:val="28"/>
        </w:rPr>
        <w:t>与空气混合就</w:t>
      </w:r>
      <w:r>
        <w:rPr>
          <w:rFonts w:hint="eastAsia" w:ascii="宋体" w:hAnsi="宋体" w:eastAsia="宋体"/>
          <w:color w:val="auto"/>
          <w:sz w:val="28"/>
          <w:szCs w:val="28"/>
        </w:rPr>
        <w:t>可能</w:t>
      </w:r>
      <w:r>
        <w:rPr>
          <w:rFonts w:ascii="宋体" w:hAnsi="宋体" w:eastAsia="宋体"/>
          <w:color w:val="auto"/>
          <w:sz w:val="28"/>
          <w:szCs w:val="28"/>
        </w:rPr>
        <w:t>形成爆炸性混合气体，当可燃气体的浓度达到爆炸极限时，遇到点火</w:t>
      </w:r>
      <w:r>
        <w:rPr>
          <w:rFonts w:hint="eastAsia" w:ascii="宋体" w:hAnsi="宋体" w:eastAsia="宋体"/>
          <w:color w:val="auto"/>
          <w:sz w:val="28"/>
          <w:szCs w:val="28"/>
        </w:rPr>
        <w:t>源，当</w:t>
      </w:r>
      <w:r>
        <w:rPr>
          <w:rFonts w:ascii="宋体" w:hAnsi="宋体" w:eastAsia="宋体"/>
          <w:color w:val="auto"/>
          <w:sz w:val="28"/>
          <w:szCs w:val="28"/>
        </w:rPr>
        <w:t>能量</w:t>
      </w:r>
      <w:r>
        <w:rPr>
          <w:rFonts w:hint="eastAsia" w:ascii="宋体" w:hAnsi="宋体" w:eastAsia="宋体"/>
          <w:color w:val="auto"/>
          <w:sz w:val="28"/>
          <w:szCs w:val="28"/>
        </w:rPr>
        <w:t>达到</w:t>
      </w:r>
      <w:r>
        <w:rPr>
          <w:rFonts w:ascii="宋体" w:hAnsi="宋体" w:eastAsia="宋体"/>
          <w:color w:val="auto"/>
          <w:sz w:val="28"/>
          <w:szCs w:val="28"/>
        </w:rPr>
        <w:t>最小点火能</w:t>
      </w:r>
      <w:r>
        <w:rPr>
          <w:rFonts w:hint="eastAsia" w:ascii="宋体" w:hAnsi="宋体" w:eastAsia="宋体"/>
          <w:color w:val="auto"/>
          <w:sz w:val="28"/>
          <w:szCs w:val="28"/>
        </w:rPr>
        <w:t>时</w:t>
      </w:r>
      <w:r>
        <w:rPr>
          <w:rFonts w:ascii="宋体" w:hAnsi="宋体" w:eastAsia="宋体"/>
          <w:color w:val="auto"/>
          <w:sz w:val="28"/>
          <w:szCs w:val="28"/>
        </w:rPr>
        <w:t>，就有可能发生火灾或爆炸。</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(4)原材料在装卸过程中未按照相关要求进行轻装轻卸，造成危险化学品包装物泄漏，如果堵漏措施不及时，大量的易燃液体流出，易燃液体挥发的蒸汽在液体表面极易形成爆炸性混合物。</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该企业容易发生</w:t>
      </w:r>
      <w:r>
        <w:rPr>
          <w:rFonts w:ascii="宋体" w:hAnsi="宋体" w:eastAsia="宋体"/>
          <w:color w:val="auto"/>
          <w:sz w:val="28"/>
          <w:szCs w:val="28"/>
        </w:rPr>
        <w:t>泄漏</w:t>
      </w:r>
      <w:r>
        <w:rPr>
          <w:rFonts w:hint="eastAsia" w:ascii="宋体" w:hAnsi="宋体" w:eastAsia="宋体"/>
          <w:color w:val="auto"/>
          <w:sz w:val="28"/>
          <w:szCs w:val="28"/>
        </w:rPr>
        <w:t>，产生爆炸性气体的场所主要是</w:t>
      </w: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等，应该加强安全管理，避免事故的发生。</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2)点火源</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易燃物质只有遇上火源才会发生火灾、爆炸事故，该企业在生产过程中的以下因素可产生火源。</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(1)明火</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现场使用火柴、打火机、吸烟、燃烧废物，会产生明火，设备维护、检修时电、气焊可产生明火，电气线路着火，机动车辆排烟尾气火星都是明火的来源。</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(2)电火花</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rPr>
        <w:t>电气短路、电气线路(特别是中性线N)过载发热、线路容量偏低，线路老化等，</w:t>
      </w:r>
      <w:r>
        <w:rPr>
          <w:rFonts w:ascii="宋体" w:hAnsi="宋体" w:eastAsia="宋体"/>
          <w:color w:val="auto"/>
          <w:sz w:val="28"/>
          <w:szCs w:val="28"/>
        </w:rPr>
        <w:t>配电箱、电机、照明等</w:t>
      </w:r>
      <w:r>
        <w:rPr>
          <w:rFonts w:hint="eastAsia" w:ascii="宋体" w:hAnsi="宋体" w:eastAsia="宋体"/>
          <w:color w:val="auto"/>
          <w:sz w:val="28"/>
          <w:szCs w:val="28"/>
        </w:rPr>
        <w:t>设备或供电线路设计或安装不符合规范要求、</w:t>
      </w:r>
      <w:r>
        <w:rPr>
          <w:rFonts w:ascii="宋体" w:hAnsi="宋体" w:eastAsia="宋体"/>
          <w:color w:val="auto"/>
          <w:sz w:val="28"/>
          <w:szCs w:val="28"/>
        </w:rPr>
        <w:t>选型</w:t>
      </w:r>
      <w:r>
        <w:rPr>
          <w:rFonts w:hint="eastAsia" w:ascii="宋体" w:hAnsi="宋体" w:eastAsia="宋体"/>
          <w:color w:val="auto"/>
          <w:sz w:val="28"/>
          <w:szCs w:val="28"/>
        </w:rPr>
        <w:t>或选材</w:t>
      </w:r>
      <w:r>
        <w:rPr>
          <w:rFonts w:ascii="宋体" w:hAnsi="宋体" w:eastAsia="宋体"/>
          <w:color w:val="auto"/>
          <w:sz w:val="28"/>
          <w:szCs w:val="28"/>
        </w:rPr>
        <w:t>不当</w:t>
      </w:r>
      <w:r>
        <w:rPr>
          <w:rFonts w:hint="eastAsia" w:ascii="宋体" w:hAnsi="宋体" w:eastAsia="宋体"/>
          <w:color w:val="auto"/>
          <w:sz w:val="28"/>
          <w:szCs w:val="28"/>
        </w:rPr>
        <w:t>、</w:t>
      </w:r>
      <w:r>
        <w:rPr>
          <w:rFonts w:ascii="宋体" w:hAnsi="宋体" w:eastAsia="宋体"/>
          <w:color w:val="auto"/>
          <w:sz w:val="28"/>
          <w:szCs w:val="28"/>
        </w:rPr>
        <w:t>防爆等级不符合要求</w:t>
      </w:r>
      <w:r>
        <w:rPr>
          <w:rFonts w:hint="eastAsia" w:ascii="宋体" w:hAnsi="宋体" w:eastAsia="宋体"/>
          <w:color w:val="auto"/>
          <w:sz w:val="28"/>
          <w:szCs w:val="28"/>
        </w:rPr>
        <w:t>、</w:t>
      </w:r>
      <w:r>
        <w:rPr>
          <w:rFonts w:ascii="宋体" w:hAnsi="宋体" w:eastAsia="宋体"/>
          <w:color w:val="auto"/>
          <w:sz w:val="28"/>
          <w:szCs w:val="28"/>
        </w:rPr>
        <w:t>接地措施缺陷</w:t>
      </w:r>
      <w:r>
        <w:rPr>
          <w:rFonts w:hint="eastAsia" w:ascii="宋体" w:hAnsi="宋体" w:eastAsia="宋体"/>
          <w:color w:val="auto"/>
          <w:sz w:val="28"/>
          <w:szCs w:val="28"/>
        </w:rPr>
        <w:t>、</w:t>
      </w:r>
      <w:r>
        <w:rPr>
          <w:rFonts w:ascii="宋体" w:hAnsi="宋体" w:eastAsia="宋体"/>
          <w:color w:val="auto"/>
          <w:sz w:val="28"/>
          <w:szCs w:val="28"/>
        </w:rPr>
        <w:t>发生故障、误操作</w:t>
      </w:r>
      <w:r>
        <w:rPr>
          <w:rFonts w:hint="eastAsia" w:ascii="宋体" w:hAnsi="宋体" w:eastAsia="宋体"/>
          <w:color w:val="auto"/>
          <w:sz w:val="28"/>
          <w:szCs w:val="28"/>
        </w:rPr>
        <w:t>等都</w:t>
      </w:r>
      <w:r>
        <w:rPr>
          <w:rFonts w:ascii="宋体" w:hAnsi="宋体" w:eastAsia="宋体"/>
          <w:color w:val="auto"/>
          <w:sz w:val="28"/>
          <w:szCs w:val="28"/>
        </w:rPr>
        <w:t>可</w:t>
      </w:r>
      <w:r>
        <w:rPr>
          <w:rFonts w:hint="eastAsia" w:ascii="宋体" w:hAnsi="宋体" w:eastAsia="宋体"/>
          <w:color w:val="auto"/>
          <w:sz w:val="28"/>
          <w:szCs w:val="28"/>
        </w:rPr>
        <w:t>能</w:t>
      </w:r>
      <w:r>
        <w:rPr>
          <w:rFonts w:ascii="宋体" w:hAnsi="宋体" w:eastAsia="宋体"/>
          <w:color w:val="auto"/>
          <w:sz w:val="28"/>
          <w:szCs w:val="28"/>
        </w:rPr>
        <w:t>产生电气火花。</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(3)摩擦或撞击火花</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使用铁质工具在易燃易爆场所开启铁桶或敲击设备，盛装危险化学品的大铁桶相互碰撞或撞击地面，在搬运危险化学品包装容器时抛、掷、拖，也可能撞击地面产生火花，生产中所用传动设备如果不保持良好的润滑或冷却，就有可能因摩擦发热而产生火花，造成可燃物质的燃烧或爆炸。</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(4)静电火花</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电阻率大的易燃易爆液体在投料、搅拌过程中会因摩擦产生静电，如果防静电措施不当，会在设备上积聚静电荷，形成电位差而放电，产生静电火花，当点火能超过易燃液体的最小点火能时就会引起火灾爆炸事故。另外，进入作业场所的作业人员如未穿防静电服、鞋时，化纤织物衣服相互摩擦也能积聚静电产生静电火花。</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rPr>
        <w:t>最可能产生静电危险的部位和环境：</w:t>
      </w:r>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由于快速</w:t>
      </w:r>
      <w:r>
        <w:rPr>
          <w:rFonts w:hint="eastAsia" w:ascii="宋体" w:hAnsi="宋体" w:eastAsia="宋体"/>
          <w:color w:val="auto"/>
          <w:sz w:val="28"/>
          <w:szCs w:val="28"/>
        </w:rPr>
        <w:t>分散</w:t>
      </w:r>
      <w:r>
        <w:rPr>
          <w:rFonts w:ascii="宋体" w:hAnsi="宋体" w:eastAsia="宋体"/>
          <w:color w:val="auto"/>
          <w:sz w:val="28"/>
          <w:szCs w:val="28"/>
        </w:rPr>
        <w:t>的易燃液体在</w:t>
      </w:r>
      <w:r>
        <w:rPr>
          <w:rFonts w:hint="eastAsia" w:ascii="宋体" w:hAnsi="宋体" w:eastAsia="宋体"/>
          <w:color w:val="auto"/>
          <w:sz w:val="28"/>
          <w:szCs w:val="28"/>
        </w:rPr>
        <w:t>容器</w:t>
      </w:r>
      <w:r>
        <w:rPr>
          <w:rFonts w:ascii="宋体" w:hAnsi="宋体" w:eastAsia="宋体"/>
          <w:color w:val="auto"/>
          <w:sz w:val="28"/>
          <w:szCs w:val="28"/>
        </w:rPr>
        <w:t>中积累了静电，从</w:t>
      </w:r>
      <w:r>
        <w:rPr>
          <w:rFonts w:hint="eastAsia" w:ascii="宋体" w:hAnsi="宋体" w:eastAsia="宋体"/>
          <w:color w:val="auto"/>
          <w:sz w:val="28"/>
          <w:szCs w:val="28"/>
        </w:rPr>
        <w:t>容器</w:t>
      </w:r>
      <w:r>
        <w:rPr>
          <w:rFonts w:ascii="宋体" w:hAnsi="宋体" w:eastAsia="宋体"/>
          <w:color w:val="auto"/>
          <w:sz w:val="28"/>
          <w:szCs w:val="28"/>
        </w:rPr>
        <w:t>中</w:t>
      </w:r>
      <w:r>
        <w:rPr>
          <w:rFonts w:hint="eastAsia" w:ascii="宋体" w:hAnsi="宋体" w:eastAsia="宋体"/>
          <w:color w:val="auto"/>
          <w:sz w:val="28"/>
          <w:szCs w:val="28"/>
        </w:rPr>
        <w:t>流</w:t>
      </w:r>
      <w:r>
        <w:rPr>
          <w:rFonts w:ascii="宋体" w:hAnsi="宋体" w:eastAsia="宋体"/>
          <w:color w:val="auto"/>
          <w:sz w:val="28"/>
          <w:szCs w:val="28"/>
        </w:rPr>
        <w:t>出，带电的液体与容器的进口边缘之间；溶剂的搅拌过程亦因摩擦而产生静电；</w:t>
      </w:r>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带电液体介质附近有悬空金属物体时由于感应的原因在金属物突出部位形成强电场，这些悬挂物与容壁之</w:t>
      </w:r>
      <w:r>
        <w:rPr>
          <w:rFonts w:hint="eastAsia" w:ascii="宋体" w:hAnsi="宋体" w:eastAsia="宋体"/>
          <w:color w:val="auto"/>
          <w:sz w:val="28"/>
          <w:szCs w:val="28"/>
        </w:rPr>
        <w:t>间；</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rPr>
        <w:t>物料在搅拌</w:t>
      </w:r>
      <w:r>
        <w:rPr>
          <w:rFonts w:ascii="宋体" w:hAnsi="宋体" w:eastAsia="宋体"/>
          <w:color w:val="auto"/>
          <w:sz w:val="28"/>
          <w:szCs w:val="28"/>
        </w:rPr>
        <w:t>过程中因摩擦而产生静电；</w:t>
      </w:r>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带静电的人接近接地导体或一个接地导体接近一个带静电压很高的介质，它们两者之间；</w:t>
      </w:r>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至少包含一种绝缘介质的物体在紧密接触之后又迅速分离时；</w:t>
      </w:r>
    </w:p>
    <w:p>
      <w:pPr>
        <w:spacing w:line="560" w:lineRule="exact"/>
        <w:ind w:firstLine="425" w:firstLineChars="152"/>
        <w:jc w:val="both"/>
        <w:rPr>
          <w:rFonts w:hint="eastAsia" w:ascii="宋体" w:hAnsi="宋体" w:eastAsia="宋体"/>
          <w:color w:val="auto"/>
          <w:sz w:val="28"/>
          <w:szCs w:val="28"/>
        </w:rPr>
      </w:pPr>
      <w:r>
        <w:rPr>
          <w:rFonts w:ascii="宋体" w:hAnsi="宋体" w:eastAsia="宋体"/>
          <w:color w:val="auto"/>
          <w:sz w:val="28"/>
          <w:szCs w:val="28"/>
        </w:rPr>
        <w:t>当环境湿度小于60%，特别是小于40%时，一切含有绝缘介质的物体，只要有紧密接触而以又迅速分离的过程，带相反极性电荷的物质之间以及带静电物体与接地导体之间</w:t>
      </w:r>
      <w:r>
        <w:rPr>
          <w:rFonts w:hint="eastAsia" w:ascii="宋体" w:hAnsi="宋体" w:eastAsia="宋体"/>
          <w:color w:val="auto"/>
          <w:sz w:val="28"/>
          <w:szCs w:val="28"/>
        </w:rPr>
        <w:t>。</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(5)雷电火花</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lang w:eastAsia="zh-CN"/>
        </w:rPr>
        <w:t>厂房四（厂房C）</w:t>
      </w:r>
      <w:r>
        <w:rPr>
          <w:rFonts w:hint="eastAsia" w:ascii="宋体" w:hAnsi="宋体" w:eastAsia="宋体"/>
          <w:color w:val="auto"/>
          <w:sz w:val="28"/>
          <w:szCs w:val="28"/>
        </w:rPr>
        <w:t>、</w:t>
      </w:r>
      <w:r>
        <w:rPr>
          <w:rFonts w:hint="eastAsia" w:ascii="宋体" w:hAnsi="宋体" w:eastAsia="宋体"/>
          <w:color w:val="auto"/>
          <w:sz w:val="28"/>
          <w:szCs w:val="28"/>
          <w:lang w:eastAsia="zh-CN"/>
        </w:rPr>
        <w:t>库房一(仓库A)</w:t>
      </w:r>
      <w:r>
        <w:rPr>
          <w:rFonts w:hint="eastAsia" w:ascii="宋体" w:hAnsi="宋体" w:eastAsia="宋体"/>
          <w:color w:val="auto"/>
          <w:sz w:val="28"/>
          <w:szCs w:val="28"/>
        </w:rPr>
        <w:t>等作业场所，均使用和贮存易燃物质，如果防雷设施不健全、接地网电阻大，或在雷雨天因雷电击中厂房或设备，可引发火灾爆炸事故、人员伤亡或设备击毁等严重后果。</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(6)危险温度</w:t>
      </w:r>
    </w:p>
    <w:p>
      <w:pPr>
        <w:spacing w:line="560" w:lineRule="exact"/>
        <w:ind w:firstLine="425" w:firstLineChars="152"/>
        <w:jc w:val="both"/>
        <w:rPr>
          <w:rFonts w:hint="eastAsia" w:ascii="宋体" w:hAnsi="宋体" w:eastAsia="宋体"/>
          <w:color w:val="auto"/>
          <w:sz w:val="28"/>
          <w:szCs w:val="28"/>
        </w:rPr>
      </w:pPr>
      <w:r>
        <w:rPr>
          <w:rFonts w:hint="eastAsia" w:ascii="宋体" w:hAnsi="宋体" w:eastAsia="宋体"/>
          <w:color w:val="auto"/>
          <w:sz w:val="28"/>
          <w:szCs w:val="28"/>
        </w:rPr>
        <w:t>电气设备的表面温度过热，电气设备因没有及时检修带故障运行或异常运转发热，机械设备运转不正常摩擦产生高温，或因散热不良而使设备的温度超过可燃气体、液体的引燃温度时，一旦接触可燃气体、液体就会引起火灾和爆炸。</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rPr>
        <w:t>综上所述，火灾、爆炸是生产工艺过程的主要危险因素。该企业的物料装卸、配料、投料、分散等生产过程均存在有机溶剂的挥发，其蒸汽能与空气形成爆炸性混合物，如果遇明火或火花，易发生火灾爆炸事故。电气火花和静电火花容易被人忽视，而由电气火花和静电火花引发的火灾爆炸事故所占的比例很大，危险性也最大，也应引起重视。</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58" w:name="bookmark114"/>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.2机械伤害</w:t>
      </w:r>
      <w:bookmarkEnd w:id="158"/>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rPr>
        <w:t>机械伤害是指机械设备的运动部件直接与人体接触所造成的伤害。该企业的机械设备主要有搅拌机，若机械设备传动部位无防护罩，转动轴无防护套、防护栏，或者缺乏必要的检修、维护和保养，易导致机械伤害的发生；操作人员若不严格遵守安全操作规程，违章作业或粗心大意、误操作等，均易引起机械设备运动部件、工具直接接触到人体，造成夹击、碰撞、卷入、辗、割等伤害。发生机械伤害的部位主要在</w:t>
      </w:r>
      <w:r>
        <w:rPr>
          <w:rFonts w:hint="eastAsia" w:ascii="宋体" w:hAnsi="宋体" w:eastAsia="宋体"/>
          <w:color w:val="auto"/>
          <w:sz w:val="28"/>
          <w:szCs w:val="28"/>
          <w:lang w:eastAsia="zh-CN"/>
        </w:rPr>
        <w:t>厂房四（厂房C）。</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在设备使用、检修、抢修过程中，操作人员违章作业或操作不当，也会使自己或他人遭受机械伤害。</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59" w:name="bookmark115"/>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.3触电伤害</w:t>
      </w:r>
      <w:bookmarkEnd w:id="159"/>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触电危险主要是指电流对人体的伤害。电流对人体有两种类型的伤害即：电击和电伤。电击是电流通过人体内部，影响呼吸、心脏和神经系统，造成人体内部组织的破坏，以至死亡。电伤主要是电流对人体外部造成的局部伤害，包括电弧烧伤，熔化金属渗入皮肤等伤害。以上两类伤害也可能同时发生，不过绝大多数触电事故都是由电击造成的。</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电气设备或电器等选材不当，绝缘老化、缺损；带电体屏护不良，就会发生漏电现象。人体接触高、低压电源、接触裸露的临时线或接触带电设备的金属外壳，触摸漏电的手持电动工具，以及触电后坠落和雷击等，就可能会造成触电伤亡事故。该公司所有供电、变配电用电设备，在使用和检修过程中，如有设备不正常运行、防护措施不力或操作失误，就很容易造成触电事故。因此，该公司存在一定的触电危险。建设项目触电伤害危害主要分布于危险化学品生产车间、仓库以及其他用电场所等。</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60" w:name="bookmark116"/>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.4车辆伤害</w:t>
      </w:r>
      <w:bookmarkEnd w:id="160"/>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车辆伤害是指企业内机动车辆在行驶中引起的人体坠落和物体倒塌、下落、挤压、碰撞伤亡事故。该企业原料进厂和产品出厂全部由机动车辆运输，厂内原材料、半成品、成品几乎是由叉车、人工推桶车等来完成，既有厂外机动车辆，也有厂内一般的运送工具，如车状不好，驾驶员操作人员失误，行人粗心大意，都有可能发生车辆伤害。一旦出现车辆交通事故不仅造成人员伤亡，而且可能会导致泄漏、火灾、爆炸等更严重的事故，因此，要对厂内道路、通道的功能划分，划定行车路线、限定车速、竖立警示牌等加以防范</w:t>
      </w:r>
      <w:r>
        <w:rPr>
          <w:rFonts w:ascii="宋体" w:hAnsi="宋体" w:eastAsia="宋体"/>
          <w:color w:val="auto"/>
          <w:sz w:val="28"/>
          <w:szCs w:val="28"/>
          <w:lang w:eastAsia="zh-CN"/>
        </w:rPr>
        <w:t>。</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61" w:name="bookmark117"/>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.5物体打击</w:t>
      </w:r>
      <w:bookmarkEnd w:id="161"/>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物体打击是指物体在重力或其它外力的作用下产生运动，打击人体造成人身伤亡事故，不包括因机械设备、车辆、起重机械、塌陷等引发的物体打击。在生产车间和仓库进行设备检修、货物转运时，因工具、其它物品的摆放不稳，或安全防护措施不符合规范，或未按操作规程操作，人员有被物体打击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企业所用原料一部分是200升桶装，成品也是各种规格的包装桶。作业人员在装卸、搬运过程中若不遵守作业规程或操作不当，有可能发生撞击伤害。此外，在往生产装置加料的过程中，若操作人员违反操作规程、粗心大意、相互间配合不当，在储存过程中，物品堆放不当或堆垛过高也可引起材料倒塌或其它意外因素引起物体坠落、跌滚，都能引起砸伤、压伤人员的事故。</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62" w:name="bookmark118"/>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.6灼烫</w:t>
      </w:r>
      <w:bookmarkEnd w:id="162"/>
    </w:p>
    <w:p>
      <w:pPr>
        <w:spacing w:line="560" w:lineRule="exact"/>
        <w:ind w:firstLine="425" w:firstLineChars="152"/>
        <w:jc w:val="both"/>
        <w:rPr>
          <w:rFonts w:hint="eastAsia" w:ascii="宋体" w:hAnsi="宋体" w:eastAsia="宋体"/>
          <w:color w:val="auto"/>
          <w:sz w:val="28"/>
          <w:szCs w:val="28"/>
          <w:lang w:eastAsia="zh-CN"/>
        </w:rPr>
      </w:pPr>
      <w:bookmarkStart w:id="163" w:name="bookmark119"/>
      <w:r>
        <w:rPr>
          <w:rFonts w:hint="eastAsia" w:ascii="宋体" w:hAnsi="宋体" w:eastAsia="宋体"/>
          <w:color w:val="auto"/>
          <w:sz w:val="28"/>
          <w:szCs w:val="28"/>
          <w:lang w:eastAsia="zh-CN"/>
        </w:rPr>
        <w:t>灼烫是指火焰烧伤、高温物体烫伤、化学灼伤(酸、碱、盐、有机物引起的体内外灼伤)、物理灼伤(光、放射性物质引起的体内外灼伤)，不包括电灼伤和火灾引起的烧伤。</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企业生产过程中使用</w:t>
      </w:r>
      <w:r>
        <w:rPr>
          <w:rFonts w:hint="eastAsia" w:ascii="宋体" w:hAnsi="宋体" w:eastAsia="宋体"/>
          <w:color w:val="auto"/>
          <w:sz w:val="28"/>
          <w:szCs w:val="28"/>
          <w:lang w:val="en-US" w:eastAsia="zh-CN"/>
        </w:rPr>
        <w:t>壬基酚聚氧乙烯醚、磷酸、硫酸、氢氧化钠</w:t>
      </w:r>
      <w:r>
        <w:rPr>
          <w:rFonts w:hint="eastAsia" w:ascii="宋体" w:hAnsi="宋体" w:eastAsia="宋体"/>
          <w:color w:val="auto"/>
          <w:sz w:val="28"/>
          <w:szCs w:val="28"/>
          <w:lang w:eastAsia="zh-CN"/>
        </w:rPr>
        <w:t>等腐蚀品，具有腐蚀性，对皮肤、粘膜等组织有强烈的刺激和腐蚀作用。</w:t>
      </w:r>
      <w:r>
        <w:rPr>
          <w:rFonts w:hint="default" w:ascii="宋体" w:hAnsi="宋体" w:eastAsia="宋体"/>
          <w:color w:val="auto"/>
          <w:sz w:val="28"/>
          <w:szCs w:val="28"/>
          <w:lang w:eastAsia="zh-CN"/>
        </w:rPr>
        <w:t>接触高浓度蒸气出现头痛、倦睡、共济失调以及眼、鼻、喉刺激症状。口服可致恶心、呕吐、腹痛、腹泻、倦睡、昏迷甚至死亡。长期皮肤接触可致皮肤干燥、皲裂。</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如生产、装卸过程中不慎接触或溅到上述腐蚀品，对人体皮肤会造成灼烫伤害。</w:t>
      </w:r>
    </w:p>
    <w:bookmarkEnd w:id="163"/>
    <w:p>
      <w:pPr>
        <w:spacing w:line="560" w:lineRule="exact"/>
        <w:jc w:val="both"/>
        <w:outlineLvl w:val="2"/>
        <w:rPr>
          <w:rFonts w:ascii="宋体" w:hAnsi="宋体" w:eastAsia="宋体" w:cs="Times New Roman"/>
          <w:bCs/>
          <w:color w:val="auto"/>
          <w:kern w:val="2"/>
          <w:sz w:val="28"/>
          <w:szCs w:val="28"/>
          <w:lang w:val="en-US" w:eastAsia="zh-CN" w:bidi="ar-SA"/>
        </w:rPr>
      </w:pPr>
      <w:bookmarkStart w:id="164" w:name="bookmark122"/>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7</w:t>
      </w:r>
      <w:bookmarkEnd w:id="164"/>
      <w:r>
        <w:rPr>
          <w:rFonts w:hint="eastAsia" w:ascii="宋体" w:hAnsi="宋体" w:eastAsia="宋体" w:cs="Times New Roman"/>
          <w:bCs/>
          <w:color w:val="auto"/>
          <w:kern w:val="2"/>
          <w:sz w:val="28"/>
          <w:szCs w:val="28"/>
          <w:lang w:val="en-US" w:eastAsia="zh-CN" w:bidi="ar-SA"/>
        </w:rPr>
        <w:t>高处坠落</w:t>
      </w:r>
    </w:p>
    <w:p>
      <w:pPr>
        <w:spacing w:line="560" w:lineRule="exact"/>
        <w:ind w:firstLine="560" w:firstLineChars="200"/>
        <w:jc w:val="both"/>
        <w:rPr>
          <w:rFonts w:hint="eastAsia" w:ascii="宋体" w:hAnsi="宋体" w:eastAsia="宋体"/>
          <w:color w:val="auto"/>
          <w:sz w:val="28"/>
          <w:szCs w:val="30"/>
        </w:rPr>
      </w:pPr>
      <w:r>
        <w:rPr>
          <w:rFonts w:hint="eastAsia" w:ascii="宋体" w:hAnsi="宋体" w:eastAsia="宋体"/>
          <w:color w:val="auto"/>
          <w:sz w:val="28"/>
          <w:szCs w:val="30"/>
        </w:rPr>
        <w:t>按国家标准GB3608-2008《高处作业分级》规定：在距坠落按高度基准面2m及2m以上有可能坠落的高处进行的作业，均称为高处作业。</w:t>
      </w:r>
    </w:p>
    <w:p>
      <w:pPr>
        <w:spacing w:line="56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30"/>
        </w:rPr>
        <w:t>当操作人员或者维修人员进行生产操作、设备检修、安装等作业时，可能由于安全防护措施不够、自我安全意识不强、违反安全操作规程或者因地面湿滑等原因而发生高处坠落，而对操作人员或者维修人员造成伤害</w:t>
      </w:r>
      <w:r>
        <w:rPr>
          <w:rFonts w:hint="eastAsia" w:ascii="宋体" w:hAnsi="宋体" w:eastAsia="宋体"/>
          <w:color w:val="auto"/>
          <w:sz w:val="28"/>
          <w:szCs w:val="30"/>
          <w:lang w:eastAsia="zh-CN"/>
        </w:rPr>
        <w:t>。</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65" w:name="bookmark123"/>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8</w:t>
      </w:r>
      <w:r>
        <w:rPr>
          <w:rFonts w:ascii="宋体" w:hAnsi="宋体" w:eastAsia="宋体" w:cs="Times New Roman"/>
          <w:bCs/>
          <w:color w:val="auto"/>
          <w:kern w:val="2"/>
          <w:sz w:val="28"/>
          <w:szCs w:val="28"/>
          <w:lang w:val="en-US" w:eastAsia="zh-CN" w:bidi="ar-SA"/>
        </w:rPr>
        <w:t>中毒室息</w:t>
      </w:r>
      <w:bookmarkEnd w:id="165"/>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毒物是指以较小剂量作用于生物体，能使生物体的生理功能或机体正常结构发生暂时性或永久性病理改变、甚至死亡的物质。毒性物质的毒性与物质的溶解度、挥发性和化学结构等有关，对人体侵入的途径主要有吸入、食入、皮肤吸收三种。</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该企业在生产中使用易燃溶剂等原料具有一定的毒性，且挥发性强，生产过程如配料、投料、分散、搬运会挥发出有毒有害气体，若通风不良，大量蒸气积聚在室内，作业人员长期吸入有毒有害物的蒸气，</w:t>
      </w:r>
      <w:r>
        <w:rPr>
          <w:rFonts w:ascii="宋体" w:hAnsi="宋体" w:eastAsia="宋体"/>
          <w:color w:val="auto"/>
          <w:sz w:val="28"/>
          <w:szCs w:val="28"/>
          <w:lang w:eastAsia="zh-CN"/>
        </w:rPr>
        <w:t>可导致急性中毒、慢性中毒，职业危害主要以麻醉性和刺激性为主，对神经系统造成一定的损害。</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此外，操作过程中疏忽大意，或违反操作规程都有可能导致有毒有害物直接与人体接触，有可能造成接触性皮炎或眼结膜炎，不过这种中毒机率比较小，严重程度比吸入蒸气中毒要低。</w:t>
      </w:r>
      <w:r>
        <w:rPr>
          <w:rFonts w:hint="eastAsia" w:ascii="宋体" w:hAnsi="宋体" w:eastAsia="宋体"/>
          <w:color w:val="auto"/>
          <w:sz w:val="28"/>
          <w:szCs w:val="28"/>
          <w:lang w:eastAsia="zh-CN"/>
        </w:rPr>
        <w:t>在容器泄漏事故状态下，中毒的</w:t>
      </w:r>
      <w:r>
        <w:rPr>
          <w:rFonts w:ascii="宋体" w:hAnsi="宋体" w:eastAsia="宋体"/>
          <w:color w:val="auto"/>
          <w:sz w:val="28"/>
          <w:szCs w:val="28"/>
          <w:lang w:eastAsia="zh-CN"/>
        </w:rPr>
        <w:t>机率</w:t>
      </w:r>
      <w:r>
        <w:rPr>
          <w:rFonts w:hint="eastAsia" w:ascii="宋体" w:hAnsi="宋体" w:eastAsia="宋体"/>
          <w:color w:val="auto"/>
          <w:sz w:val="28"/>
          <w:szCs w:val="28"/>
          <w:lang w:eastAsia="zh-CN"/>
        </w:rPr>
        <w:t>就非常大。</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66" w:name="bookmark124"/>
      <w:bookmarkStart w:id="167" w:name="bookmark125"/>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2</w:t>
      </w:r>
      <w:r>
        <w:rPr>
          <w:rFonts w:ascii="宋体" w:hAnsi="宋体" w:eastAsia="宋体" w:cs="Times New Roman"/>
          <w:bCs/>
          <w:color w:val="auto"/>
          <w:kern w:val="2"/>
          <w:sz w:val="28"/>
          <w:szCs w:val="28"/>
          <w:lang w:val="en-US" w:eastAsia="zh-CN" w:bidi="ar-SA"/>
        </w:rPr>
        <w:t>.</w:t>
      </w:r>
      <w:bookmarkEnd w:id="166"/>
      <w:bookmarkEnd w:id="167"/>
      <w:r>
        <w:rPr>
          <w:rFonts w:hint="eastAsia" w:ascii="宋体" w:hAnsi="宋体" w:eastAsia="宋体" w:cs="Times New Roman"/>
          <w:bCs/>
          <w:color w:val="auto"/>
          <w:kern w:val="2"/>
          <w:sz w:val="28"/>
          <w:szCs w:val="28"/>
          <w:lang w:val="en-US" w:eastAsia="zh-CN" w:bidi="ar-SA"/>
        </w:rPr>
        <w:t>9其他危险有害因素分析</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噪声伤害</w:t>
      </w:r>
    </w:p>
    <w:p>
      <w:pPr>
        <w:tabs>
          <w:tab w:val="left" w:pos="7950"/>
        </w:tabs>
        <w:spacing w:line="540" w:lineRule="exact"/>
        <w:ind w:firstLine="560" w:firstLineChars="200"/>
        <w:jc w:val="both"/>
        <w:rPr>
          <w:rFonts w:hint="eastAsia" w:ascii="宋体" w:hAnsi="宋体" w:eastAsia="宋体"/>
          <w:color w:val="auto"/>
          <w:sz w:val="28"/>
        </w:rPr>
      </w:pPr>
      <w:r>
        <w:rPr>
          <w:rFonts w:hint="eastAsia" w:ascii="宋体" w:hAnsi="宋体" w:eastAsia="宋体"/>
          <w:color w:val="auto"/>
          <w:sz w:val="28"/>
        </w:rPr>
        <w:t>该企业的噪声主要是机械性噪声。噪声源主要有：高速搅拌机、通风机、空压机等设备。噪声对人体的危害主要表现在对听觉系统的伤害。长期接触高强度噪声会造成听觉系统耳蜗底部的不可逆损伤，导致噪声性耳聋的发生。另外，强烈的噪声还对人体神经系统、消化系统等产生一定的影响。</w:t>
      </w:r>
    </w:p>
    <w:p>
      <w:pPr>
        <w:tabs>
          <w:tab w:val="left" w:pos="7950"/>
        </w:tabs>
        <w:spacing w:line="540" w:lineRule="exact"/>
        <w:ind w:firstLine="560" w:firstLineChars="200"/>
        <w:jc w:val="both"/>
        <w:rPr>
          <w:rFonts w:hint="eastAsia" w:ascii="宋体" w:hAnsi="宋体" w:eastAsia="宋体"/>
          <w:color w:val="auto"/>
          <w:sz w:val="28"/>
        </w:rPr>
      </w:pPr>
      <w:r>
        <w:rPr>
          <w:rFonts w:hint="eastAsia" w:ascii="宋体" w:hAnsi="宋体" w:eastAsia="宋体"/>
          <w:color w:val="auto"/>
          <w:sz w:val="28"/>
        </w:rPr>
        <w:t>通过以上分析可以看出，该公司在生产过程中主要的危险有害因素为火灾爆炸、中毒和窒息、触电、机械伤害、高处坠落、车辆伤害、物体打击、灼烫、粉尘危害、噪声等。通过分析评价，使企业安全管理者、操作人员能够认识这些危险有害因素的存在，以便对危险化学品生产这一危险行业的安全技术管理和职业健康安全防护提供一些参考。</w:t>
      </w:r>
    </w:p>
    <w:p>
      <w:pPr>
        <w:spacing w:line="54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rPr>
        <w:t>职业中毒</w:t>
      </w:r>
    </w:p>
    <w:p>
      <w:pPr>
        <w:tabs>
          <w:tab w:val="left" w:pos="7950"/>
        </w:tabs>
        <w:spacing w:line="540" w:lineRule="exact"/>
        <w:ind w:firstLine="560" w:firstLineChars="200"/>
        <w:jc w:val="both"/>
        <w:rPr>
          <w:rFonts w:ascii="宋体" w:hAnsi="宋体" w:eastAsia="宋体"/>
          <w:color w:val="auto"/>
          <w:sz w:val="28"/>
        </w:rPr>
      </w:pPr>
      <w:r>
        <w:rPr>
          <w:rFonts w:hint="eastAsia" w:ascii="宋体" w:hAnsi="宋体" w:eastAsia="宋体"/>
          <w:color w:val="auto"/>
          <w:sz w:val="28"/>
        </w:rPr>
        <w:t>生产性毒物在一定条件下可能引起职业中毒，职业性接触毒物通过吸入、食入、皮肤吸收等三种途径对人体侵害，其中又以呼吸道吸入对人的危害最为常见。该公司生产过程中使用的有机溶剂具有一定的毒害性，人员长期在有毒环境中工作（皮肤接触、吸入蒸气等）可能造成职业中毒。</w:t>
      </w:r>
    </w:p>
    <w:p>
      <w:pPr>
        <w:ind w:firstLine="560" w:firstLineChars="200"/>
        <w:jc w:val="both"/>
        <w:rPr>
          <w:rFonts w:ascii="宋体" w:hAnsi="宋体" w:eastAsia="宋体"/>
          <w:color w:val="auto"/>
          <w:sz w:val="28"/>
          <w:szCs w:val="28"/>
        </w:rPr>
      </w:pPr>
      <w:r>
        <w:rPr>
          <w:rFonts w:hint="eastAsia" w:ascii="宋体" w:hAnsi="宋体" w:eastAsia="宋体"/>
          <w:color w:val="auto"/>
          <w:sz w:val="28"/>
          <w:szCs w:val="28"/>
        </w:rPr>
        <w:t>高温危害</w:t>
      </w:r>
    </w:p>
    <w:p>
      <w:pPr>
        <w:spacing w:line="560" w:lineRule="exact"/>
        <w:ind w:firstLine="560" w:firstLineChars="200"/>
        <w:jc w:val="both"/>
        <w:rPr>
          <w:rFonts w:hint="eastAsia" w:ascii="宋体" w:hAnsi="宋体" w:eastAsia="宋体"/>
          <w:color w:val="auto"/>
          <w:sz w:val="28"/>
          <w:szCs w:val="30"/>
          <w:lang w:eastAsia="zh-CN"/>
        </w:rPr>
      </w:pPr>
      <w:r>
        <w:rPr>
          <w:rFonts w:hint="eastAsia" w:ascii="宋体" w:hAnsi="宋体" w:eastAsia="宋体"/>
          <w:color w:val="auto"/>
          <w:sz w:val="28"/>
          <w:szCs w:val="28"/>
        </w:rPr>
        <w:t>在高</w:t>
      </w:r>
      <w:r>
        <w:rPr>
          <w:rFonts w:ascii="宋体" w:hAnsi="宋体" w:eastAsia="宋体"/>
          <w:color w:val="auto"/>
          <w:sz w:val="28"/>
          <w:szCs w:val="28"/>
        </w:rPr>
        <w:t>温</w:t>
      </w:r>
      <w:r>
        <w:rPr>
          <w:rFonts w:hint="eastAsia" w:ascii="宋体" w:hAnsi="宋体" w:eastAsia="宋体"/>
          <w:color w:val="auto"/>
          <w:sz w:val="28"/>
          <w:szCs w:val="28"/>
        </w:rPr>
        <w:t>天气下，人体散</w:t>
      </w:r>
      <w:r>
        <w:rPr>
          <w:rFonts w:ascii="宋体" w:hAnsi="宋体" w:eastAsia="宋体"/>
          <w:color w:val="auto"/>
          <w:sz w:val="28"/>
          <w:szCs w:val="28"/>
        </w:rPr>
        <w:t>热</w:t>
      </w:r>
      <w:r>
        <w:rPr>
          <w:rFonts w:hint="eastAsia" w:ascii="宋体" w:hAnsi="宋体" w:eastAsia="宋体"/>
          <w:color w:val="auto"/>
          <w:sz w:val="28"/>
          <w:szCs w:val="28"/>
        </w:rPr>
        <w:t>比</w:t>
      </w:r>
      <w:r>
        <w:rPr>
          <w:rFonts w:ascii="宋体" w:hAnsi="宋体" w:eastAsia="宋体"/>
          <w:color w:val="auto"/>
          <w:sz w:val="28"/>
          <w:szCs w:val="28"/>
        </w:rPr>
        <w:t>较</w:t>
      </w:r>
      <w:r>
        <w:rPr>
          <w:rFonts w:hint="eastAsia" w:ascii="宋体" w:hAnsi="宋体" w:eastAsia="宋体"/>
          <w:color w:val="auto"/>
          <w:sz w:val="28"/>
          <w:szCs w:val="28"/>
        </w:rPr>
        <w:t>困</w:t>
      </w:r>
      <w:r>
        <w:rPr>
          <w:rFonts w:ascii="宋体" w:hAnsi="宋体" w:eastAsia="宋体"/>
          <w:color w:val="auto"/>
          <w:sz w:val="28"/>
          <w:szCs w:val="28"/>
        </w:rPr>
        <w:t>难</w:t>
      </w:r>
      <w:r>
        <w:rPr>
          <w:rFonts w:hint="eastAsia" w:ascii="宋体" w:hAnsi="宋体" w:eastAsia="宋体"/>
          <w:color w:val="auto"/>
          <w:sz w:val="28"/>
          <w:szCs w:val="28"/>
        </w:rPr>
        <w:t>，</w:t>
      </w:r>
      <w:r>
        <w:rPr>
          <w:rFonts w:ascii="宋体" w:hAnsi="宋体" w:eastAsia="宋体"/>
          <w:color w:val="auto"/>
          <w:sz w:val="28"/>
          <w:szCs w:val="28"/>
        </w:rPr>
        <w:t>随着大量</w:t>
      </w:r>
      <w:r>
        <w:rPr>
          <w:rFonts w:hint="eastAsia" w:ascii="宋体" w:hAnsi="宋体" w:eastAsia="宋体"/>
          <w:color w:val="auto"/>
          <w:sz w:val="28"/>
          <w:szCs w:val="28"/>
        </w:rPr>
        <w:t>出汗，人体代</w:t>
      </w:r>
      <w:r>
        <w:rPr>
          <w:rFonts w:ascii="宋体" w:hAnsi="宋体" w:eastAsia="宋体"/>
          <w:color w:val="auto"/>
          <w:sz w:val="28"/>
          <w:szCs w:val="28"/>
        </w:rPr>
        <w:t>谢紊乱而发</w:t>
      </w:r>
      <w:r>
        <w:rPr>
          <w:rFonts w:hint="eastAsia" w:ascii="宋体" w:hAnsi="宋体" w:eastAsia="宋体"/>
          <w:color w:val="auto"/>
          <w:sz w:val="28"/>
          <w:szCs w:val="28"/>
        </w:rPr>
        <w:t>生中暑。</w:t>
      </w:r>
      <w:r>
        <w:rPr>
          <w:rFonts w:ascii="宋体" w:hAnsi="宋体" w:eastAsia="宋体"/>
          <w:color w:val="auto"/>
          <w:sz w:val="28"/>
          <w:szCs w:val="28"/>
        </w:rPr>
        <w:t>长期</w:t>
      </w:r>
      <w:r>
        <w:rPr>
          <w:rFonts w:hint="eastAsia" w:ascii="宋体" w:hAnsi="宋体" w:eastAsia="宋体"/>
          <w:color w:val="auto"/>
          <w:sz w:val="28"/>
          <w:szCs w:val="28"/>
        </w:rPr>
        <w:t>在高</w:t>
      </w:r>
      <w:r>
        <w:rPr>
          <w:rFonts w:ascii="宋体" w:hAnsi="宋体" w:eastAsia="宋体"/>
          <w:color w:val="auto"/>
          <w:sz w:val="28"/>
          <w:szCs w:val="28"/>
        </w:rPr>
        <w:t>温环</w:t>
      </w:r>
      <w:r>
        <w:rPr>
          <w:rFonts w:hint="eastAsia" w:ascii="宋体" w:hAnsi="宋体" w:eastAsia="宋体"/>
          <w:color w:val="auto"/>
          <w:sz w:val="28"/>
          <w:szCs w:val="28"/>
        </w:rPr>
        <w:t>境中工作，人体可出</w:t>
      </w:r>
      <w:r>
        <w:rPr>
          <w:rFonts w:ascii="宋体" w:hAnsi="宋体" w:eastAsia="宋体"/>
          <w:color w:val="auto"/>
          <w:sz w:val="28"/>
          <w:szCs w:val="28"/>
        </w:rPr>
        <w:t>现</w:t>
      </w:r>
      <w:r>
        <w:rPr>
          <w:rFonts w:hint="eastAsia" w:ascii="宋体" w:hAnsi="宋体" w:eastAsia="宋体"/>
          <w:color w:val="auto"/>
          <w:sz w:val="28"/>
          <w:szCs w:val="28"/>
        </w:rPr>
        <w:t>高血</w:t>
      </w:r>
      <w:r>
        <w:rPr>
          <w:rFonts w:ascii="宋体" w:hAnsi="宋体" w:eastAsia="宋体"/>
          <w:color w:val="auto"/>
          <w:sz w:val="28"/>
          <w:szCs w:val="28"/>
        </w:rPr>
        <w:t>压</w:t>
      </w:r>
      <w:r>
        <w:rPr>
          <w:rFonts w:hint="eastAsia" w:ascii="宋体" w:hAnsi="宋体" w:eastAsia="宋体"/>
          <w:color w:val="auto"/>
          <w:sz w:val="28"/>
          <w:szCs w:val="28"/>
        </w:rPr>
        <w:t>、心肌受</w:t>
      </w:r>
      <w:r>
        <w:rPr>
          <w:rFonts w:ascii="宋体" w:hAnsi="宋体" w:eastAsia="宋体"/>
          <w:color w:val="auto"/>
          <w:sz w:val="28"/>
          <w:szCs w:val="28"/>
        </w:rPr>
        <w:t>损</w:t>
      </w:r>
      <w:r>
        <w:rPr>
          <w:rFonts w:hint="eastAsia" w:ascii="宋体" w:hAnsi="宋体" w:eastAsia="宋体"/>
          <w:color w:val="auto"/>
          <w:sz w:val="28"/>
          <w:szCs w:val="28"/>
        </w:rPr>
        <w:t>和消化功能障</w:t>
      </w:r>
      <w:r>
        <w:rPr>
          <w:rFonts w:ascii="宋体" w:hAnsi="宋体" w:eastAsia="宋体"/>
          <w:color w:val="auto"/>
          <w:sz w:val="28"/>
          <w:szCs w:val="28"/>
        </w:rPr>
        <w:t>碍等</w:t>
      </w:r>
      <w:r>
        <w:rPr>
          <w:rFonts w:hint="eastAsia" w:ascii="宋体" w:hAnsi="宋体" w:eastAsia="宋体"/>
          <w:color w:val="auto"/>
          <w:sz w:val="28"/>
          <w:szCs w:val="28"/>
        </w:rPr>
        <w:t>疾病</w:t>
      </w:r>
      <w:r>
        <w:rPr>
          <w:rFonts w:hint="eastAsia" w:ascii="宋体" w:hAnsi="宋体" w:eastAsia="宋体"/>
          <w:color w:val="auto"/>
          <w:sz w:val="28"/>
          <w:szCs w:val="28"/>
          <w:lang w:eastAsia="zh-CN"/>
        </w:rPr>
        <w:t>。</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68" w:name="bookmark127"/>
      <w:bookmarkStart w:id="169" w:name="_Toc15135"/>
      <w:r>
        <w:rPr>
          <w:rFonts w:ascii="楷体_GB2312" w:hAnsi="Times New Roman" w:eastAsia="楷体_GB2312" w:cs="Times New Roman"/>
          <w:bCs/>
          <w:color w:val="auto"/>
          <w:kern w:val="2"/>
          <w:sz w:val="32"/>
          <w:lang w:val="en-US" w:eastAsia="zh-CN" w:bidi="ar-SA"/>
        </w:rPr>
        <w:t>附件1.</w:t>
      </w:r>
      <w:r>
        <w:rPr>
          <w:rFonts w:hint="eastAsia" w:ascii="楷体_GB2312" w:hAnsi="Times New Roman" w:eastAsia="楷体_GB2312" w:cs="Times New Roman"/>
          <w:bCs/>
          <w:color w:val="auto"/>
          <w:kern w:val="2"/>
          <w:sz w:val="32"/>
          <w:lang w:val="en-US" w:eastAsia="zh-CN" w:bidi="ar-SA"/>
        </w:rPr>
        <w:t>3</w:t>
      </w:r>
      <w:r>
        <w:rPr>
          <w:rFonts w:ascii="楷体_GB2312" w:hAnsi="Times New Roman" w:eastAsia="楷体_GB2312" w:cs="Times New Roman"/>
          <w:bCs/>
          <w:color w:val="auto"/>
          <w:kern w:val="2"/>
          <w:sz w:val="32"/>
          <w:lang w:val="en-US" w:eastAsia="zh-CN" w:bidi="ar-SA"/>
        </w:rPr>
        <w:t>工艺过程危险有害因素辨识</w:t>
      </w:r>
      <w:bookmarkEnd w:id="168"/>
      <w:bookmarkEnd w:id="16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该公司生产工艺过程主要搅拌混合、分散研磨、检验、包装等几个环节，这些环节均为物理过程，现将每个环节的危险、有害因素分析如下：</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0" w:name="bookmark128"/>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.1搅拌混合过程危险、危害性分析</w:t>
      </w:r>
      <w:bookmarkEnd w:id="170"/>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厂房四（厂房C）主要是进行投料、搅拌等作业，在这个过程中，存在的主要危险、有害因素有：</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1)使用的颜料、填料等在包装搬运、拆口、投料等过程会产生粉尘，存在着粉尘危害危险；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2)树脂、溶剂等在投料过程中和在生产过程中，容器设备始终是敞开的，会散发可燃液体蒸汽，可能会漏洒、漫溢，存在着火灾、爆炸和中毒的危险；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3)树脂、溶剂等在投料过程中，因流速过快、液体冲击、摩擦等原因产生静电集聚，存在着静电危害的危险；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4)使用搅拌机进行混合，有可能使搅拌叶与容器壁发生碰撞、摩擦，产生火花而存在引发火灾、爆炸危险；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5)使用搅拌机进行混合，存在着噪声危害；</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6)使用带有较长传动轴和桨叶的搅拌机有发生机械伤害的危险；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7)使用电气设备有可能造成触电伤害的危险；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8)电气设备及设施有可能产生电气火花，存在着引发火灾、爆炸危险。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.2分散研磨过程危险、危害性分析</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搅拌混合合格后，将容器推到砂磨机前进行研磨分散，在这个过程中，存在的主要危险、有害因素有：</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在生产过程中，容器设备始终是敞开的，会散发可燃液体蒸汽，可能会漏洒、漫溢，存在着火灾、爆炸和中毒危险；</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半成品因摩擦等原因产生静电集聚，存在着静电危害的危险；</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使用砂磨机进行混合，存在着噪声危害；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砂磨机机件出现故障，发生碰撞、摩擦，产生火花而存在引发火灾、爆炸危险；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使用砂磨机有发生机械伤害的危险；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砂磨机的电气设备有可能造成触电伤害的危险；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ascii="宋体" w:hAnsi="宋体" w:eastAsia="宋体"/>
          <w:color w:val="auto"/>
          <w:sz w:val="28"/>
          <w:szCs w:val="28"/>
          <w:lang w:eastAsia="zh-CN"/>
        </w:rPr>
        <w:t>电气设备及设施有可能产生电气火花，存在着引发火灾、爆炸危险。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1" w:name="bookmark129"/>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检验过程危险、危害性分析</w:t>
      </w:r>
      <w:bookmarkEnd w:id="171"/>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过滤结束后，产出物必须经过检验，判断产品是否合格，在这个过程中，存在的主要危险、有害因素有：</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取样过程中设备设施散发的有毒气体及检验过程中添加的有毒试剂，使检验人员存在着中毒危险；</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取样过程中，运转的设备的噪声对检验人员存在着噪声危害；</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取样过程中，有发生机械伤害的危险；</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取样过程中及检验过程中，触及带电体有可能造成触电伤害；</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取样过程中，存在着物体打击和滑倒、跌摔的危险；</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检验过程中，可燃液体和溢出的可燃蒸汽存在着火灾、爆炸危险。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包装过程危险、危害性分析</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产品检验合格后，即可进行包装，在这个过程中，存在的主要危险、有害因素有：</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产品检验合格后，即可进行包装，在这个过程中，存在的主要危险、有害因素有：</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1)在包装过程中，容器设备始终是敞开的，会散发可燃液体蒸汽和有毒气体，可能会漏洒、漫溢，存在着火灾、爆炸和中毒危险；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2)机械设备运转的声音、包装容器撞击的声音使包装环境中存在着噪声危害；</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3)在包装过程中，机械设备部件有可能与人体发生夹击、碰撞、剪切、刺、割等伤害，存在着发生机械伤害的危险；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4)在包装过程中，触及带电体有可能造成触电伤害的危险；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5)使用人力进行搬运包装容器和已包装好的产品，存在着物体打击和手工操作中的危害和滑倒、跌摔的危险；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6)检验产品效果时，需进行样板喷涂试验，容易挥发出易燃易爆气体，与空气形成爆炸性混合物，如遇明火、高热火电气火花等，有可能引起火灾爆炸的危险。</w:t>
      </w:r>
    </w:p>
    <w:p>
      <w:pPr>
        <w:spacing w:line="560" w:lineRule="exact"/>
        <w:ind w:firstLine="425" w:firstLineChars="152"/>
        <w:jc w:val="both"/>
        <w:rPr>
          <w:rFonts w:hint="eastAsia" w:ascii="宋体" w:hAnsi="宋体" w:eastAsia="宋体"/>
          <w:color w:val="auto"/>
          <w:sz w:val="28"/>
          <w:szCs w:val="28"/>
          <w:lang w:eastAsia="zh-CN"/>
        </w:rPr>
      </w:pPr>
      <w:r>
        <w:rPr>
          <w:rFonts w:hint="eastAsia" w:ascii="宋体" w:hAnsi="宋体" w:eastAsia="宋体"/>
          <w:color w:val="auto"/>
          <w:sz w:val="28"/>
          <w:szCs w:val="28"/>
          <w:lang w:eastAsia="zh-CN"/>
        </w:rPr>
        <w:t>7)包装容器撞击有可能产生火花，存在着引发火灾、爆炸危险。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2" w:name="bookmark130"/>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.6危险、有害因素辨识小结</w:t>
      </w:r>
      <w:bookmarkEnd w:id="172"/>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依照《企业职工伤亡事故分类》</w:t>
      </w:r>
      <w:r>
        <w:rPr>
          <w:rFonts w:hint="eastAsia" w:ascii="宋体" w:hAnsi="宋体" w:eastAsia="宋体"/>
          <w:color w:val="auto"/>
          <w:sz w:val="28"/>
          <w:szCs w:val="28"/>
          <w:lang w:eastAsia="zh-CN"/>
        </w:rPr>
        <w:t>(</w:t>
      </w:r>
      <w:r>
        <w:rPr>
          <w:rFonts w:ascii="宋体" w:hAnsi="宋体" w:eastAsia="宋体"/>
          <w:color w:val="auto"/>
          <w:sz w:val="28"/>
          <w:szCs w:val="28"/>
          <w:lang w:eastAsia="zh-CN"/>
        </w:rPr>
        <w:t>GB6441-</w:t>
      </w:r>
      <w:r>
        <w:rPr>
          <w:rFonts w:ascii="宋体" w:hAnsi="宋体" w:eastAsia="宋体"/>
          <w:color w:val="auto"/>
          <w:sz w:val="28"/>
          <w:szCs w:val="28"/>
        </w:rPr>
        <w:t>19</w:t>
      </w:r>
      <w:r>
        <w:rPr>
          <w:rFonts w:ascii="宋体" w:hAnsi="宋体" w:eastAsia="宋体"/>
          <w:color w:val="auto"/>
          <w:sz w:val="28"/>
          <w:szCs w:val="28"/>
          <w:lang w:eastAsia="zh-CN"/>
        </w:rPr>
        <w:t>86</w:t>
      </w:r>
      <w:r>
        <w:rPr>
          <w:rFonts w:hint="eastAsia" w:ascii="宋体" w:hAnsi="宋体" w:eastAsia="宋体"/>
          <w:color w:val="auto"/>
          <w:sz w:val="28"/>
          <w:szCs w:val="28"/>
          <w:lang w:eastAsia="zh-CN"/>
        </w:rPr>
        <w:t>)</w:t>
      </w:r>
      <w:r>
        <w:rPr>
          <w:rFonts w:ascii="宋体" w:hAnsi="宋体" w:eastAsia="宋体"/>
          <w:color w:val="auto"/>
          <w:sz w:val="28"/>
          <w:szCs w:val="28"/>
          <w:lang w:eastAsia="zh-CN"/>
        </w:rPr>
        <w:t>的规定，该公司可能存在的危险、有害因素有：火灾爆炸、中毒</w:t>
      </w:r>
      <w:r>
        <w:rPr>
          <w:rFonts w:hint="eastAsia" w:ascii="宋体" w:hAnsi="宋体" w:eastAsia="宋体"/>
          <w:color w:val="auto"/>
          <w:sz w:val="28"/>
          <w:szCs w:val="28"/>
          <w:lang w:eastAsia="zh-CN"/>
        </w:rPr>
        <w:t>和</w:t>
      </w:r>
      <w:r>
        <w:rPr>
          <w:rFonts w:ascii="宋体" w:hAnsi="宋体" w:eastAsia="宋体"/>
          <w:color w:val="auto"/>
          <w:sz w:val="28"/>
          <w:szCs w:val="28"/>
          <w:lang w:eastAsia="zh-CN"/>
        </w:rPr>
        <w:t>窒息、机械伤害、触电、车辆伤害、物体打击、灼烫等。其中火灾爆炸、中毒和窒息是主要危险、有害因素；具体分布情况见下表。</w:t>
      </w:r>
    </w:p>
    <w:p>
      <w:pPr>
        <w:spacing w:line="560" w:lineRule="exact"/>
        <w:jc w:val="center"/>
        <w:rPr>
          <w:rFonts w:hint="eastAsia" w:ascii="宋体" w:hAnsi="宋体" w:eastAsia="宋体"/>
          <w:b/>
          <w:color w:val="auto"/>
        </w:rPr>
      </w:pPr>
      <w:r>
        <w:rPr>
          <w:rFonts w:hint="eastAsia" w:ascii="宋体" w:hAnsi="宋体" w:eastAsia="宋体"/>
          <w:b/>
          <w:color w:val="auto"/>
        </w:rPr>
        <w:t>附表1</w:t>
      </w:r>
      <w:r>
        <w:rPr>
          <w:rFonts w:ascii="宋体" w:hAnsi="宋体" w:eastAsia="宋体"/>
          <w:b/>
          <w:color w:val="auto"/>
        </w:rPr>
        <w:t>-</w:t>
      </w:r>
      <w:r>
        <w:rPr>
          <w:rFonts w:hint="eastAsia" w:ascii="宋体" w:hAnsi="宋体" w:eastAsia="宋体"/>
          <w:b/>
          <w:color w:val="auto"/>
          <w:lang w:val="en-US" w:eastAsia="zh-CN"/>
        </w:rPr>
        <w:t>8</w:t>
      </w:r>
      <w:r>
        <w:rPr>
          <w:rFonts w:hint="eastAsia" w:ascii="宋体" w:hAnsi="宋体" w:eastAsia="宋体"/>
          <w:b/>
          <w:color w:val="auto"/>
        </w:rPr>
        <w:t xml:space="preserve"> 主要危险有害因素及其分布情况表</w:t>
      </w:r>
    </w:p>
    <w:tbl>
      <w:tblPr>
        <w:tblStyle w:val="46"/>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3"/>
        <w:gridCol w:w="816"/>
        <w:gridCol w:w="850"/>
        <w:gridCol w:w="750"/>
        <w:gridCol w:w="850"/>
        <w:gridCol w:w="884"/>
        <w:gridCol w:w="916"/>
        <w:gridCol w:w="867"/>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blHeader/>
          <w:jc w:val="center"/>
        </w:trPr>
        <w:tc>
          <w:tcPr>
            <w:tcW w:w="2583"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危险</w:t>
            </w:r>
          </w:p>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区域</w:t>
            </w:r>
          </w:p>
        </w:tc>
        <w:tc>
          <w:tcPr>
            <w:tcW w:w="816"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火灾</w:t>
            </w:r>
            <w:r>
              <w:rPr>
                <w:rFonts w:hint="eastAsia" w:ascii="宋体" w:hAnsi="宋体" w:eastAsia="宋体" w:cs="宋体"/>
                <w:b/>
                <w:color w:val="auto"/>
                <w:kern w:val="2"/>
                <w:sz w:val="21"/>
                <w:szCs w:val="21"/>
                <w:lang w:eastAsia="zh-CN"/>
              </w:rPr>
              <w:t>、</w:t>
            </w:r>
            <w:r>
              <w:rPr>
                <w:rFonts w:hint="eastAsia" w:ascii="宋体" w:hAnsi="宋体" w:eastAsia="宋体" w:cs="宋体"/>
                <w:b/>
                <w:color w:val="auto"/>
                <w:kern w:val="2"/>
                <w:sz w:val="21"/>
                <w:szCs w:val="21"/>
              </w:rPr>
              <w:t>爆炸</w:t>
            </w:r>
          </w:p>
        </w:tc>
        <w:tc>
          <w:tcPr>
            <w:tcW w:w="85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中毒和窒息</w:t>
            </w:r>
          </w:p>
        </w:tc>
        <w:tc>
          <w:tcPr>
            <w:tcW w:w="75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机械伤害</w:t>
            </w:r>
          </w:p>
        </w:tc>
        <w:tc>
          <w:tcPr>
            <w:tcW w:w="85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触电伤害</w:t>
            </w:r>
          </w:p>
        </w:tc>
        <w:tc>
          <w:tcPr>
            <w:tcW w:w="884"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物体打击</w:t>
            </w:r>
          </w:p>
        </w:tc>
        <w:tc>
          <w:tcPr>
            <w:tcW w:w="916"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灼烫</w:t>
            </w:r>
          </w:p>
        </w:tc>
        <w:tc>
          <w:tcPr>
            <w:tcW w:w="867"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高处坠落</w:t>
            </w:r>
          </w:p>
        </w:tc>
        <w:tc>
          <w:tcPr>
            <w:tcW w:w="1120" w:type="dxa"/>
            <w:vAlign w:val="center"/>
          </w:tcPr>
          <w:p>
            <w:pPr>
              <w:keepNext w:val="0"/>
              <w:keepLines w:val="0"/>
              <w:suppressLineNumbers w:val="0"/>
              <w:spacing w:before="0" w:beforeAutospacing="0" w:after="0" w:afterAutospacing="0" w:line="340" w:lineRule="exact"/>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车辆伤害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8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8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配电房</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办公楼</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宿舍楼</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厂房三(厂房B)</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8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厂区道路</w:t>
            </w:r>
          </w:p>
        </w:tc>
        <w:tc>
          <w:tcPr>
            <w:tcW w:w="8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7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85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8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9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86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c>
          <w:tcPr>
            <w:tcW w:w="112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w:t>
            </w:r>
          </w:p>
        </w:tc>
      </w:tr>
    </w:tbl>
    <w:p>
      <w:pPr>
        <w:spacing w:line="560" w:lineRule="exact"/>
        <w:jc w:val="center"/>
        <w:rPr>
          <w:rFonts w:hint="eastAsia" w:ascii="宋体" w:hAnsi="宋体" w:eastAsia="宋体"/>
          <w:b/>
          <w:color w:val="auto"/>
        </w:rPr>
      </w:pP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73" w:name="_Toc29296"/>
      <w:r>
        <w:rPr>
          <w:rFonts w:ascii="楷体_GB2312" w:hAnsi="Times New Roman" w:eastAsia="楷体_GB2312" w:cs="Times New Roman"/>
          <w:bCs/>
          <w:color w:val="auto"/>
          <w:kern w:val="2"/>
          <w:sz w:val="32"/>
          <w:lang w:val="en-US" w:eastAsia="zh-CN" w:bidi="ar-SA"/>
        </w:rPr>
        <w:t>附件1.</w:t>
      </w:r>
      <w:r>
        <w:rPr>
          <w:rFonts w:hint="eastAsia" w:ascii="楷体_GB2312" w:hAnsi="Times New Roman" w:eastAsia="楷体_GB2312" w:cs="Times New Roman"/>
          <w:bCs/>
          <w:color w:val="auto"/>
          <w:kern w:val="2"/>
          <w:sz w:val="32"/>
          <w:lang w:val="en-US" w:eastAsia="zh-CN" w:bidi="ar-SA"/>
        </w:rPr>
        <w:t>4</w:t>
      </w:r>
      <w:r>
        <w:rPr>
          <w:rFonts w:ascii="楷体_GB2312" w:hAnsi="Times New Roman" w:eastAsia="楷体_GB2312" w:cs="Times New Roman"/>
          <w:bCs/>
          <w:color w:val="auto"/>
          <w:kern w:val="2"/>
          <w:sz w:val="32"/>
          <w:lang w:val="en-US" w:eastAsia="zh-CN" w:bidi="ar-SA"/>
        </w:rPr>
        <w:t>危险化学品重大危险源辨识</w:t>
      </w:r>
      <w:bookmarkEnd w:id="173"/>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依据《危险化学品重大危险源辨识》(GB18218-2018)可知，危险化学品重大危险源辨识是长期地或临时地生产、</w:t>
      </w:r>
      <w:r>
        <w:rPr>
          <w:rFonts w:hint="eastAsia" w:ascii="宋体" w:hAnsi="宋体" w:eastAsia="宋体"/>
          <w:color w:val="auto"/>
          <w:sz w:val="28"/>
          <w:szCs w:val="28"/>
        </w:rPr>
        <w:t>储存</w:t>
      </w:r>
      <w:r>
        <w:rPr>
          <w:rFonts w:ascii="宋体" w:hAnsi="宋体" w:eastAsia="宋体"/>
          <w:color w:val="auto"/>
          <w:sz w:val="28"/>
          <w:szCs w:val="28"/>
        </w:rPr>
        <w:t>、使用</w:t>
      </w:r>
      <w:r>
        <w:rPr>
          <w:rFonts w:hint="eastAsia" w:ascii="宋体" w:hAnsi="宋体" w:eastAsia="宋体"/>
          <w:color w:val="auto"/>
          <w:sz w:val="28"/>
          <w:szCs w:val="28"/>
        </w:rPr>
        <w:t>和经营</w:t>
      </w:r>
      <w:r>
        <w:rPr>
          <w:rFonts w:ascii="宋体" w:hAnsi="宋体" w:eastAsia="宋体"/>
          <w:color w:val="auto"/>
          <w:sz w:val="28"/>
          <w:szCs w:val="28"/>
        </w:rPr>
        <w:t>危险化学品，且危险化学品的数量等于或超过临界量的单元。单元是</w:t>
      </w:r>
      <w:r>
        <w:rPr>
          <w:rFonts w:hint="eastAsia" w:ascii="宋体" w:hAnsi="宋体" w:eastAsia="宋体"/>
          <w:color w:val="auto"/>
          <w:sz w:val="28"/>
          <w:szCs w:val="28"/>
        </w:rPr>
        <w:t>指涉及危险化学品的生产、储存装置</w:t>
      </w:r>
      <w:r>
        <w:rPr>
          <w:rFonts w:ascii="宋体" w:hAnsi="宋体" w:eastAsia="宋体"/>
          <w:color w:val="auto"/>
          <w:sz w:val="28"/>
          <w:szCs w:val="28"/>
        </w:rPr>
        <w:t>、设施或场所，</w:t>
      </w:r>
      <w:r>
        <w:rPr>
          <w:rFonts w:hint="eastAsia" w:ascii="宋体" w:hAnsi="宋体" w:eastAsia="宋体"/>
          <w:color w:val="auto"/>
          <w:sz w:val="28"/>
          <w:szCs w:val="28"/>
        </w:rPr>
        <w:t>分为生产单元和储存单元。</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该公司</w:t>
      </w:r>
      <w:r>
        <w:rPr>
          <w:rFonts w:hint="eastAsia" w:ascii="宋体" w:hAnsi="宋体" w:eastAsia="宋体"/>
          <w:color w:val="auto"/>
          <w:sz w:val="28"/>
          <w:szCs w:val="28"/>
        </w:rPr>
        <w:t>生产过程中涉及的危险化学品有</w:t>
      </w:r>
      <w:r>
        <w:rPr>
          <w:rFonts w:hint="eastAsia" w:ascii="宋体" w:hAnsi="宋体" w:eastAsia="宋体"/>
          <w:color w:val="auto"/>
          <w:sz w:val="28"/>
          <w:szCs w:val="28"/>
          <w:lang w:eastAsia="zh-CN"/>
        </w:rPr>
        <w:t>环己烷、</w:t>
      </w:r>
      <w:r>
        <w:rPr>
          <w:rFonts w:hint="eastAsia" w:ascii="宋体" w:hAnsi="宋体" w:eastAsia="宋体"/>
          <w:color w:val="auto"/>
          <w:sz w:val="28"/>
          <w:szCs w:val="28"/>
          <w:lang w:val="en-US" w:eastAsia="zh-CN"/>
        </w:rPr>
        <w:t>2-丙醇、乙醇[无水]、清洗剂、快干助焊剂</w:t>
      </w:r>
      <w:r>
        <w:rPr>
          <w:rFonts w:ascii="宋体" w:hAnsi="宋体" w:eastAsia="宋体"/>
          <w:color w:val="auto"/>
          <w:sz w:val="28"/>
          <w:szCs w:val="28"/>
        </w:rPr>
        <w:t>等；对照《危险化学品重大危险源辨识》(GB18218-2018)，对该公司的危险化学品进行重大危险源辨识，具体辨识见下表。</w:t>
      </w:r>
    </w:p>
    <w:p>
      <w:pPr>
        <w:spacing w:line="560" w:lineRule="exact"/>
        <w:jc w:val="center"/>
        <w:rPr>
          <w:rFonts w:ascii="宋体" w:hAnsi="宋体" w:eastAsia="PMingLiU"/>
          <w:b/>
          <w:color w:val="auto"/>
        </w:rPr>
      </w:pPr>
      <w:r>
        <w:rPr>
          <w:rFonts w:hint="eastAsia" w:ascii="宋体" w:hAnsi="宋体" w:eastAsia="宋体"/>
          <w:b/>
          <w:color w:val="auto"/>
        </w:rPr>
        <w:t>附表1</w:t>
      </w:r>
      <w:r>
        <w:rPr>
          <w:rFonts w:ascii="宋体" w:hAnsi="宋体" w:eastAsia="宋体"/>
          <w:b/>
          <w:color w:val="auto"/>
        </w:rPr>
        <w:t>-</w:t>
      </w:r>
      <w:r>
        <w:rPr>
          <w:rFonts w:hint="eastAsia" w:ascii="宋体" w:hAnsi="宋体" w:eastAsia="宋体"/>
          <w:b/>
          <w:color w:val="auto"/>
          <w:lang w:val="en-US" w:eastAsia="zh-CN"/>
        </w:rPr>
        <w:t>9</w:t>
      </w:r>
      <w:r>
        <w:rPr>
          <w:rFonts w:hint="eastAsia" w:ascii="宋体" w:hAnsi="宋体" w:eastAsia="宋体"/>
          <w:b/>
          <w:color w:val="auto"/>
        </w:rPr>
        <w:t xml:space="preserve"> </w:t>
      </w:r>
      <w:r>
        <w:rPr>
          <w:rFonts w:hint="eastAsia" w:ascii="宋体" w:hAnsi="宋体" w:eastAsia="宋体"/>
          <w:b/>
          <w:color w:val="auto"/>
          <w:lang w:eastAsia="zh-CN"/>
        </w:rPr>
        <w:t>库房一(仓库A)</w:t>
      </w:r>
      <w:r>
        <w:rPr>
          <w:rFonts w:hint="eastAsia" w:ascii="宋体" w:hAnsi="宋体" w:eastAsia="宋体"/>
          <w:b/>
          <w:color w:val="auto"/>
        </w:rPr>
        <w:t>危险化学品重大危险源辨识表</w:t>
      </w:r>
    </w:p>
    <w:tbl>
      <w:tblPr>
        <w:tblStyle w:val="46"/>
        <w:tblW w:w="907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40"/>
        <w:gridCol w:w="2678"/>
        <w:gridCol w:w="1819"/>
        <w:gridCol w:w="1804"/>
        <w:gridCol w:w="17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6" w:hRule="atLeast"/>
          <w:tblHeader/>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物质名称</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临界量</w:t>
            </w:r>
          </w:p>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Q（t）</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储存量</w:t>
            </w:r>
          </w:p>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q（t）</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q/Q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环己烷</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2-丙醇</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1000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15</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乙醇</w:t>
            </w:r>
            <w:r>
              <w:rPr>
                <w:rFonts w:hint="eastAsia" w:ascii="宋体" w:hAnsi="宋体" w:eastAsia="宋体" w:cs="宋体"/>
                <w:color w:val="auto"/>
                <w:kern w:val="2"/>
                <w:sz w:val="21"/>
                <w:szCs w:val="21"/>
                <w:lang w:val="en-US" w:eastAsia="zh-CN"/>
              </w:rPr>
              <w:t>[无水]</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快干助焊剂</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1000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30</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exact"/>
          <w:jc w:val="center"/>
        </w:trPr>
        <w:tc>
          <w:tcPr>
            <w:tcW w:w="7341" w:type="dxa"/>
            <w:gridSpan w:val="4"/>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合计</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0.125</w:t>
            </w:r>
          </w:p>
        </w:tc>
      </w:tr>
    </w:tbl>
    <w:p>
      <w:pPr>
        <w:spacing w:line="560" w:lineRule="exact"/>
        <w:jc w:val="both"/>
        <w:rPr>
          <w:rFonts w:ascii="宋体" w:hAnsi="宋体" w:eastAsia="宋体"/>
          <w:b/>
          <w:color w:val="auto"/>
          <w:lang w:eastAsia="zh-CN"/>
        </w:rPr>
      </w:pPr>
    </w:p>
    <w:p>
      <w:pPr>
        <w:spacing w:line="560" w:lineRule="exact"/>
        <w:jc w:val="center"/>
        <w:rPr>
          <w:rFonts w:ascii="宋体" w:hAnsi="宋体" w:eastAsia="PMingLiU"/>
          <w:b/>
          <w:color w:val="auto"/>
        </w:rPr>
      </w:pPr>
      <w:r>
        <w:rPr>
          <w:rFonts w:hint="eastAsia" w:ascii="宋体" w:hAnsi="宋体" w:eastAsia="宋体"/>
          <w:b/>
          <w:color w:val="auto"/>
        </w:rPr>
        <w:t>附表1</w:t>
      </w:r>
      <w:r>
        <w:rPr>
          <w:rFonts w:ascii="宋体" w:hAnsi="宋体" w:eastAsia="宋体"/>
          <w:b/>
          <w:color w:val="auto"/>
        </w:rPr>
        <w:t>-</w:t>
      </w:r>
      <w:r>
        <w:rPr>
          <w:rFonts w:hint="eastAsia" w:ascii="宋体" w:hAnsi="宋体" w:eastAsia="宋体"/>
          <w:b/>
          <w:color w:val="auto"/>
          <w:lang w:val="en-US" w:eastAsia="zh-CN"/>
        </w:rPr>
        <w:t>10</w:t>
      </w:r>
      <w:r>
        <w:rPr>
          <w:rFonts w:hint="eastAsia" w:ascii="宋体" w:hAnsi="宋体" w:eastAsia="宋体"/>
          <w:b/>
          <w:color w:val="auto"/>
        </w:rPr>
        <w:t xml:space="preserve"> </w:t>
      </w:r>
      <w:r>
        <w:rPr>
          <w:rFonts w:hint="eastAsia" w:ascii="宋体" w:hAnsi="宋体" w:eastAsia="宋体"/>
          <w:b/>
          <w:color w:val="auto"/>
          <w:lang w:eastAsia="zh-CN"/>
        </w:rPr>
        <w:t>厂房四（厂房C）</w:t>
      </w:r>
      <w:r>
        <w:rPr>
          <w:rFonts w:hint="eastAsia" w:ascii="宋体" w:hAnsi="宋体" w:eastAsia="宋体"/>
          <w:b/>
          <w:color w:val="auto"/>
        </w:rPr>
        <w:t>危险化学品重大危险源辨识表</w:t>
      </w:r>
    </w:p>
    <w:tbl>
      <w:tblPr>
        <w:tblStyle w:val="46"/>
        <w:tblW w:w="907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40"/>
        <w:gridCol w:w="2678"/>
        <w:gridCol w:w="1819"/>
        <w:gridCol w:w="1804"/>
        <w:gridCol w:w="17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6" w:hRule="atLeast"/>
          <w:tblHeader/>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物质名称</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临界量</w:t>
            </w:r>
          </w:p>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Q（t）</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储存量</w:t>
            </w:r>
          </w:p>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q（t）</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q/Q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环己烷</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2.5</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2-丙醇</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1000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乙醇</w:t>
            </w:r>
            <w:r>
              <w:rPr>
                <w:rFonts w:hint="eastAsia" w:ascii="宋体" w:hAnsi="宋体" w:eastAsia="宋体" w:cs="宋体"/>
                <w:color w:val="auto"/>
                <w:kern w:val="2"/>
                <w:sz w:val="21"/>
                <w:szCs w:val="21"/>
                <w:lang w:val="en-US" w:eastAsia="zh-CN"/>
              </w:rPr>
              <w:t>[无水]</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w:t>
            </w:r>
          </w:p>
        </w:tc>
        <w:tc>
          <w:tcPr>
            <w:tcW w:w="267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快干助焊剂</w:t>
            </w:r>
          </w:p>
        </w:tc>
        <w:tc>
          <w:tcPr>
            <w:tcW w:w="1819"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1000</w:t>
            </w:r>
          </w:p>
        </w:tc>
        <w:tc>
          <w:tcPr>
            <w:tcW w:w="1804"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exact"/>
          <w:jc w:val="center"/>
        </w:trPr>
        <w:tc>
          <w:tcPr>
            <w:tcW w:w="7341" w:type="dxa"/>
            <w:gridSpan w:val="4"/>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合计</w:t>
            </w:r>
          </w:p>
        </w:tc>
        <w:tc>
          <w:tcPr>
            <w:tcW w:w="173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0.0120</w:t>
            </w:r>
          </w:p>
        </w:tc>
      </w:tr>
    </w:tbl>
    <w:p>
      <w:pPr>
        <w:spacing w:line="560" w:lineRule="exact"/>
        <w:ind w:firstLine="560" w:firstLineChars="200"/>
        <w:rPr>
          <w:rFonts w:hint="eastAsia" w:ascii="宋体" w:hAnsi="宋体" w:eastAsia="宋体"/>
          <w:color w:val="auto"/>
          <w:sz w:val="28"/>
          <w:szCs w:val="28"/>
          <w:lang w:eastAsia="zh-CN"/>
        </w:rPr>
      </w:pPr>
      <w:r>
        <w:rPr>
          <w:rFonts w:hint="eastAsia" w:ascii="宋体" w:hAnsi="宋体" w:eastAsia="宋体"/>
          <w:color w:val="auto"/>
          <w:sz w:val="28"/>
          <w:szCs w:val="28"/>
          <w:lang w:eastAsia="zh-CN"/>
        </w:rPr>
        <w:t>经辨识，厂房四（厂房C）单元q/Q=0.</w:t>
      </w:r>
      <w:r>
        <w:rPr>
          <w:rFonts w:hint="eastAsia" w:ascii="宋体" w:hAnsi="宋体" w:eastAsia="宋体"/>
          <w:color w:val="auto"/>
          <w:sz w:val="28"/>
          <w:szCs w:val="28"/>
          <w:lang w:val="en-US" w:eastAsia="zh-CN"/>
        </w:rPr>
        <w:t>0120</w:t>
      </w:r>
      <w:r>
        <w:rPr>
          <w:rFonts w:hint="eastAsia" w:ascii="宋体" w:hAnsi="宋体" w:eastAsia="宋体"/>
          <w:color w:val="auto"/>
          <w:sz w:val="28"/>
          <w:szCs w:val="28"/>
          <w:lang w:eastAsia="zh-CN"/>
        </w:rPr>
        <w:t>＜1，该公司厂房四（厂房C）单元不构成危险化学品重大危险源；库房一(仓库A)单元q/Q=0.</w:t>
      </w:r>
      <w:r>
        <w:rPr>
          <w:rFonts w:hint="eastAsia" w:ascii="宋体" w:hAnsi="宋体" w:eastAsia="宋体"/>
          <w:color w:val="auto"/>
          <w:sz w:val="28"/>
          <w:szCs w:val="28"/>
          <w:lang w:val="en-US" w:eastAsia="zh-CN"/>
        </w:rPr>
        <w:t>125</w:t>
      </w:r>
      <w:r>
        <w:rPr>
          <w:rFonts w:hint="eastAsia" w:ascii="宋体" w:hAnsi="宋体" w:eastAsia="宋体"/>
          <w:color w:val="auto"/>
          <w:sz w:val="28"/>
          <w:szCs w:val="28"/>
          <w:lang w:eastAsia="zh-CN"/>
        </w:rPr>
        <w:t>＜1，该公司库房一(仓库A)也不构成危险化学品重大危险源。</w:t>
      </w:r>
    </w:p>
    <w:p>
      <w:pPr>
        <w:spacing w:line="560" w:lineRule="exact"/>
        <w:ind w:firstLine="560" w:firstLineChars="200"/>
        <w:rPr>
          <w:rFonts w:ascii="宋体" w:hAnsi="宋体" w:eastAsia="宋体"/>
          <w:color w:val="auto"/>
          <w:sz w:val="28"/>
          <w:szCs w:val="28"/>
          <w:lang w:eastAsia="zh-CN"/>
        </w:rPr>
      </w:pPr>
      <w:r>
        <w:rPr>
          <w:rFonts w:hint="eastAsia" w:ascii="宋体" w:hAnsi="宋体" w:eastAsia="宋体"/>
          <w:color w:val="auto"/>
          <w:sz w:val="28"/>
          <w:szCs w:val="28"/>
          <w:lang w:eastAsia="zh-CN"/>
        </w:rPr>
        <w:t>因此，该公司危险化学品未构成重大危险源。</w:t>
      </w:r>
      <w:bookmarkStart w:id="174" w:name="bookmark133"/>
      <w:r>
        <w:rPr>
          <w:rFonts w:ascii="宋体" w:hAnsi="宋体" w:eastAsia="宋体"/>
          <w:color w:val="auto"/>
          <w:sz w:val="28"/>
          <w:szCs w:val="28"/>
          <w:lang w:eastAsia="zh-CN"/>
        </w:rPr>
        <w:br w:type="page"/>
      </w:r>
    </w:p>
    <w:p>
      <w:pPr>
        <w:pStyle w:val="3"/>
        <w:spacing w:after="120"/>
        <w:rPr>
          <w:snapToGrid/>
          <w:color w:val="auto"/>
        </w:rPr>
      </w:pPr>
      <w:bookmarkStart w:id="175" w:name="_Toc19136"/>
      <w:r>
        <w:rPr>
          <w:snapToGrid/>
          <w:color w:val="auto"/>
        </w:rPr>
        <w:t>附件2定性、定量分析过程</w:t>
      </w:r>
      <w:bookmarkEnd w:id="174"/>
      <w:bookmarkEnd w:id="175"/>
    </w:p>
    <w:p>
      <w:pPr>
        <w:spacing w:line="560" w:lineRule="exact"/>
        <w:ind w:firstLine="425" w:firstLineChars="152"/>
        <w:rPr>
          <w:rFonts w:ascii="宋体" w:hAnsi="宋体" w:eastAsia="宋体"/>
          <w:color w:val="auto"/>
          <w:sz w:val="28"/>
          <w:szCs w:val="28"/>
        </w:rPr>
      </w:pPr>
      <w:bookmarkStart w:id="176" w:name="bookmark134"/>
      <w:r>
        <w:rPr>
          <w:rFonts w:ascii="宋体" w:hAnsi="宋体" w:eastAsia="宋体"/>
          <w:color w:val="auto"/>
          <w:sz w:val="28"/>
          <w:szCs w:val="28"/>
        </w:rPr>
        <w:t>根据该公司的危险有害的实际情况和特点，本评价报告采用安全检查表、事故树分析法、道化学火灾爆炸指数评价法，对企业危险化学品的生产作定性与定量的分析评价。</w:t>
      </w:r>
      <w:bookmarkEnd w:id="176"/>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77" w:name="bookmark135"/>
      <w:bookmarkStart w:id="178" w:name="_Toc14204"/>
      <w:r>
        <w:rPr>
          <w:rFonts w:ascii="楷体_GB2312" w:hAnsi="Times New Roman" w:eastAsia="楷体_GB2312" w:cs="Times New Roman"/>
          <w:bCs/>
          <w:color w:val="auto"/>
          <w:kern w:val="2"/>
          <w:sz w:val="32"/>
          <w:lang w:val="en-US" w:eastAsia="zh-CN" w:bidi="ar-SA"/>
        </w:rPr>
        <w:t>附件2.1安全检查表</w:t>
      </w:r>
      <w:bookmarkEnd w:id="177"/>
      <w:bookmarkEnd w:id="178"/>
    </w:p>
    <w:p>
      <w:pPr>
        <w:spacing w:line="560" w:lineRule="exact"/>
        <w:jc w:val="both"/>
        <w:outlineLvl w:val="2"/>
        <w:rPr>
          <w:rFonts w:ascii="宋体" w:hAnsi="宋体" w:eastAsia="宋体" w:cs="Times New Roman"/>
          <w:bCs/>
          <w:color w:val="auto"/>
          <w:kern w:val="2"/>
          <w:sz w:val="28"/>
          <w:szCs w:val="28"/>
          <w:lang w:val="en-US" w:eastAsia="zh-CN" w:bidi="ar-SA"/>
        </w:rPr>
      </w:pPr>
      <w:bookmarkStart w:id="179" w:name="bookmark136"/>
      <w:r>
        <w:rPr>
          <w:rFonts w:ascii="宋体" w:hAnsi="宋体" w:eastAsia="宋体" w:cs="Times New Roman"/>
          <w:bCs/>
          <w:color w:val="auto"/>
          <w:kern w:val="2"/>
          <w:sz w:val="28"/>
          <w:szCs w:val="28"/>
          <w:lang w:val="en-US" w:eastAsia="zh-CN" w:bidi="ar-SA"/>
        </w:rPr>
        <w:t>2.1.1安全管理方面评价检查表</w:t>
      </w:r>
      <w:bookmarkEnd w:id="179"/>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中华人民共和国安全生产法》(中华人民共和国主席令第13号)、《安全生产许可证条例》(国务院令第397号)、《危险化学品安全管理条例》(中华人民共和国国务院令第591号，国务院令645号修订)法律、法规的要求，编制安全检查表，对企业的安全管理制度、安全管理组织、从业人员要求、事故预防与处理、安全生产投入、危险物品安全管理、安全生产所需证照文件等进行检查评价，检查评价见附表2-1。</w:t>
      </w:r>
    </w:p>
    <w:p>
      <w:pPr>
        <w:spacing w:line="560" w:lineRule="exact"/>
        <w:jc w:val="center"/>
        <w:rPr>
          <w:rFonts w:ascii="宋体" w:hAnsi="宋体" w:eastAsia="宋体"/>
          <w:b/>
          <w:color w:val="auto"/>
        </w:rPr>
      </w:pPr>
      <w:r>
        <w:rPr>
          <w:rFonts w:ascii="宋体" w:hAnsi="宋体" w:eastAsia="宋体"/>
          <w:b/>
          <w:color w:val="auto"/>
        </w:rPr>
        <w:t>附表2-1安全管理分析评价检查表</w:t>
      </w:r>
    </w:p>
    <w:tbl>
      <w:tblPr>
        <w:tblStyle w:val="46"/>
        <w:tblW w:w="939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23"/>
        <w:gridCol w:w="3709"/>
        <w:gridCol w:w="64"/>
        <w:gridCol w:w="2431"/>
        <w:gridCol w:w="1794"/>
        <w:gridCol w:w="67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3773" w:type="dxa"/>
            <w:gridSpan w:val="2"/>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检查项目及内容</w:t>
            </w:r>
          </w:p>
        </w:tc>
        <w:tc>
          <w:tcPr>
            <w:tcW w:w="2431"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依据</w:t>
            </w:r>
          </w:p>
        </w:tc>
        <w:tc>
          <w:tcPr>
            <w:tcW w:w="1794"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实际情况</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8671" w:type="dxa"/>
            <w:gridSpan w:val="5"/>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安全管理制度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建立了各级各类人员(包括企业负责人、管理人员、从业人员)的安全管理责任制。</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《安全生产法》第十八条(一)、《危险化学品生产企业安全生产许可证实施办法》第十三条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有各级各类人员安全生产责任制。</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有健全的管理制度，包括：</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(一)安全生产例会等安全生产会议制度；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(二)安全投入保障制度；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(三)安全生产奖惩制度；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(四)安全培训教育制度；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(五)领导干部轮流现场带班制度；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(六)特种作业人员管理制度；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(七)安全检查和隐患排查治理制度；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(八)变更管理制度；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(九)应急管理制度；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(十)生产安全事故或者重大事件管理制度；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(十一)防火、防爆、防中毒、防泄漏管理制度；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(十二)工艺、设备、电气仪表、公用工程安全管理制度；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(十三)动火、进入受限空间、吊装、高处、盲板抽堵、动土、断路、设备检维修等作业安全管理制度；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(十四)危险化学品安全管理制度；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(十五)职业健康管理制度；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(十六)劳动防护用品使用维护管理制度；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(十七)承包商管理制度；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(十八)安全管理制度及操作规程定期修订制度。</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《安全生产法》第十八条(二)</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《危险化学品生产企业安全生产许可证实施办法》第十四条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已建立健全所需的安全管理制度。</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1.3</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各岗位安全操作规程</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(1)搅拌机安全操作规程；</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(2)砂磨机安全操作规程；</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(3)配料、配色安全操作规程；</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(4)搬运装卸操作岗位安全操作规程；</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(5)电工安全操作规程等；</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《安全生产法》第十八条(二)、第二十二条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有各岗位安全操作规程。</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1.4</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有事故应急救援措施，构成重大危险源的要建立事故应急救援预案。事故应急救援预案报地方安监部门备案。</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《安全生产法》第七十八条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该企业不构成重大危险源，已建立事故应急救援预案，经专家评审通过并报市</w:t>
            </w:r>
            <w:r>
              <w:rPr>
                <w:rFonts w:hint="eastAsia" w:ascii="宋体" w:hAnsi="宋体" w:eastAsia="宋体" w:cs="宋体"/>
                <w:color w:val="auto"/>
                <w:kern w:val="2"/>
                <w:sz w:val="21"/>
                <w:szCs w:val="21"/>
                <w:lang w:eastAsia="zh-CN"/>
              </w:rPr>
              <w:t>、区应急局</w:t>
            </w:r>
            <w:r>
              <w:rPr>
                <w:rFonts w:hint="eastAsia" w:ascii="宋体" w:hAnsi="宋体" w:eastAsia="宋体" w:cs="宋体"/>
                <w:color w:val="auto"/>
                <w:kern w:val="2"/>
                <w:sz w:val="21"/>
                <w:szCs w:val="21"/>
              </w:rPr>
              <w:t>。</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8671" w:type="dxa"/>
            <w:gridSpan w:val="5"/>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安全管理组织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有安全管理机构或配备专职安全管理人员。</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《安全生产法》第二十一条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《广东省安全生产条例》第十一条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《危险化学品生产企业安全生产许可证实施办法》第十二条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有安全生产管理组织，配备了专职的安全管理人员。</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2.2</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应指定一名主要管理人员为安全责任人。</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《安全生产法》第二十一条，《广东省安全生产条例》第八条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有指定专职安全责任人。</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w:t>
            </w:r>
          </w:p>
        </w:tc>
        <w:tc>
          <w:tcPr>
            <w:tcW w:w="8671" w:type="dxa"/>
            <w:gridSpan w:val="5"/>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从业人员要求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企业主要负责人和安全管理人员经安全生产教育培训考核合格取得上岗资格。</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《安全生产法》第二十条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《广东省安全生产条例》第十五条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企业主要负责人和安全管理人员经培训合格</w:t>
            </w:r>
            <w:r>
              <w:rPr>
                <w:rFonts w:hint="eastAsia" w:ascii="宋体" w:hAnsi="宋体" w:eastAsia="宋体" w:cs="宋体"/>
                <w:color w:val="auto"/>
                <w:kern w:val="2"/>
                <w:sz w:val="21"/>
                <w:szCs w:val="21"/>
                <w:lang w:eastAsia="zh-CN"/>
              </w:rPr>
              <w:t>，有相关的资格证书</w:t>
            </w:r>
            <w:r>
              <w:rPr>
                <w:rFonts w:hint="eastAsia" w:ascii="宋体" w:hAnsi="宋体" w:eastAsia="宋体" w:cs="宋体"/>
                <w:color w:val="auto"/>
                <w:kern w:val="2"/>
                <w:sz w:val="21"/>
                <w:szCs w:val="21"/>
              </w:rPr>
              <w:t>。</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3.2</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经营单位应当对从业人员进行与其职业相关的安全生产教育和培训，经考核合格的从业人员方可上岗作业；从事特种作业的从业人员，应当经专门的安全技术培训、考核合格并取得特种作业操作资格证，方可从事特种作业。</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《安全生产法》第二十五条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《广东省安全生产条例》第十五条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其他从业人员已在上岗前培训。特种作业人员持证上岗。</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3.3</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作业人员应熟悉并遵守作业规程，正确穿戴和使用劳动保护用品。</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《安全生产法》第五十四条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《广东省安全生产条例》第十七条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作业人员能熟悉并遵守作业规程，能按要求配戴有劳动防护用品。</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3.4</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依法参加工伤社会保险，为从业人员缴纳工伤保险费。</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《安全生产法》第四十八条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依法为职工参加工伤社会保险，按时缴纳工伤保险费。</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w:t>
            </w:r>
          </w:p>
        </w:tc>
        <w:tc>
          <w:tcPr>
            <w:tcW w:w="8671" w:type="dxa"/>
            <w:gridSpan w:val="5"/>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事故预防与处理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制订事故应急救援预案。</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《安全生产法》第七十八条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制订了事故应急救援预案并经专家评审、备案。</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发生事故调查处理要符合国家有关规定，建立事故档案。</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《广东省安全生产条例》第二十八条、第二十九条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自取证以来，没有发生火灾、爆炸、工伤死亡及重大事故。</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c>
          <w:tcPr>
            <w:tcW w:w="8671" w:type="dxa"/>
            <w:gridSpan w:val="5"/>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安全生产投入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5.1</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能保证安全生产资金的投入有效实施。</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《安全生产法》第二十条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安全投入能保证安全要求。</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5.2</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企业应当依法委托具备国家规定资质的安全评价机构进行安全评价，并按照安全评价报告的意见对存在的安全生产问题进行整改。</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《危险化学品安全生产许可证实施办法》第十九条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企业依法进行安全评价，对前次及这次安全评价所提的整改建议，投入资金进行整改。</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w:t>
            </w:r>
          </w:p>
        </w:tc>
        <w:tc>
          <w:tcPr>
            <w:tcW w:w="8671" w:type="dxa"/>
            <w:gridSpan w:val="5"/>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危险品安全管理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6.1</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不生产、使用国家明令禁止的危险化学品。</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《危险化学品安全管理条例》第五条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没有使用国家明令禁止的危险化学品。</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6.2</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危险化学品安全管理，应当坚持安全第一、预防为主、综合治理的方针，强化和落实企业的主体责任。</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《危险化学品安全管理条例》第四条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企业坚持安全第一、预防为主、综合治理的方针，强化和落实企业的主体责任。</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6.3</w:t>
            </w:r>
          </w:p>
        </w:tc>
        <w:tc>
          <w:tcPr>
            <w:tcW w:w="3773"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生产、储存、使用、经营、运输危险化学品的单位的主要负责人对本单位的危险化学品安全管理工作全面负责。</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《危险化学品安全管理条例》第四条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单位主要负责人对危险化学品安全管理工作全面负责。</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6.4</w:t>
            </w:r>
          </w:p>
        </w:tc>
        <w:tc>
          <w:tcPr>
            <w:tcW w:w="3773" w:type="dxa"/>
            <w:gridSpan w:val="2"/>
            <w:vAlign w:val="center"/>
          </w:tcPr>
          <w:p>
            <w:pPr>
              <w:pStyle w:val="41"/>
              <w:keepNext w:val="0"/>
              <w:keepLines w:val="0"/>
              <w:suppressLineNumbers w:val="0"/>
              <w:spacing w:before="0" w:beforeAutospacing="0" w:after="0" w:afterAutospacing="0" w:line="240" w:lineRule="auto"/>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危险化学品的包装应当符合法律、行政法规、规章的规定以及国家标准、行业标准的要求。</w:t>
            </w:r>
          </w:p>
        </w:tc>
        <w:tc>
          <w:tcPr>
            <w:tcW w:w="2431"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《危险化学品管理条例》第十七条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危险化学品的包装符合要求。</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6.5</w:t>
            </w:r>
          </w:p>
        </w:tc>
        <w:tc>
          <w:tcPr>
            <w:tcW w:w="3773" w:type="dxa"/>
            <w:gridSpan w:val="2"/>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危险物品的运输符合国家有关规定。</w:t>
            </w:r>
          </w:p>
        </w:tc>
        <w:tc>
          <w:tcPr>
            <w:tcW w:w="2431"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《危险化学品安全管理条例》第五章</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危险化学品的运输由供应商负责或者委托有资质的运输公司承担。</w:t>
            </w:r>
          </w:p>
        </w:tc>
        <w:tc>
          <w:tcPr>
            <w:tcW w:w="67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w:t>
            </w:r>
          </w:p>
        </w:tc>
        <w:tc>
          <w:tcPr>
            <w:tcW w:w="8671" w:type="dxa"/>
            <w:gridSpan w:val="5"/>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其它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7.1</w:t>
            </w:r>
          </w:p>
        </w:tc>
        <w:tc>
          <w:tcPr>
            <w:tcW w:w="3773" w:type="dxa"/>
            <w:gridSpan w:val="2"/>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储存危险化学品的企业，应当委托具备国家规定的资质条件的机构，对本企业的安全生产条件每3年进行一次安全评价，提出安全评价报告。安全评价报告的内容应当包括对安全生产条件存在的问题进行整改的方案。</w:t>
            </w:r>
          </w:p>
        </w:tc>
        <w:tc>
          <w:tcPr>
            <w:tcW w:w="2431"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《危险化学品安全管理条例》第二十二条</w:t>
            </w:r>
          </w:p>
        </w:tc>
        <w:tc>
          <w:tcPr>
            <w:tcW w:w="179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正在进行安全评价，对安全生产条件存在的问题提出整改方案。</w:t>
            </w:r>
          </w:p>
        </w:tc>
        <w:tc>
          <w:tcPr>
            <w:tcW w:w="67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7.2</w:t>
            </w:r>
          </w:p>
        </w:tc>
        <w:tc>
          <w:tcPr>
            <w:tcW w:w="3773" w:type="dxa"/>
            <w:gridSpan w:val="2"/>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生产、储存、使用危险化学品的车间、商店、仓库不得与员工宿舍在同一建筑物内，有安全距离，生产场所和员工宿舍有畅通的出口。</w:t>
            </w:r>
          </w:p>
        </w:tc>
        <w:tc>
          <w:tcPr>
            <w:tcW w:w="2431"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《安全生产法》第三十九条</w:t>
            </w:r>
          </w:p>
        </w:tc>
        <w:tc>
          <w:tcPr>
            <w:tcW w:w="179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厂房</w:t>
            </w:r>
            <w:r>
              <w:rPr>
                <w:rFonts w:hint="eastAsia" w:ascii="宋体" w:hAnsi="宋体" w:eastAsia="宋体" w:cs="宋体"/>
                <w:color w:val="auto"/>
                <w:kern w:val="2"/>
                <w:sz w:val="21"/>
                <w:szCs w:val="21"/>
              </w:rPr>
              <w:t>、仓库</w:t>
            </w: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rPr>
              <w:t>办公区</w:t>
            </w:r>
            <w:r>
              <w:rPr>
                <w:rFonts w:hint="eastAsia" w:ascii="宋体" w:hAnsi="宋体" w:eastAsia="宋体" w:cs="宋体"/>
                <w:color w:val="auto"/>
                <w:kern w:val="2"/>
                <w:sz w:val="21"/>
                <w:szCs w:val="21"/>
                <w:lang w:eastAsia="zh-CN"/>
              </w:rPr>
              <w:t>、宿舍楼之间</w:t>
            </w:r>
            <w:r>
              <w:rPr>
                <w:rFonts w:hint="eastAsia" w:ascii="宋体" w:hAnsi="宋体" w:eastAsia="宋体" w:cs="宋体"/>
                <w:color w:val="auto"/>
                <w:kern w:val="2"/>
                <w:sz w:val="21"/>
                <w:szCs w:val="21"/>
              </w:rPr>
              <w:t>的距离符合规范要求。</w:t>
            </w:r>
          </w:p>
        </w:tc>
        <w:tc>
          <w:tcPr>
            <w:tcW w:w="67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7.3</w:t>
            </w:r>
          </w:p>
        </w:tc>
        <w:tc>
          <w:tcPr>
            <w:tcW w:w="3773" w:type="dxa"/>
            <w:gridSpan w:val="2"/>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安全设备符合国家标准，并进行经常性维护保养，定期检测，保证正常运转。</w:t>
            </w:r>
          </w:p>
        </w:tc>
        <w:tc>
          <w:tcPr>
            <w:tcW w:w="2431"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《安全生产法》第三十三条</w:t>
            </w:r>
          </w:p>
        </w:tc>
        <w:tc>
          <w:tcPr>
            <w:tcW w:w="179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消防设施、防雷防静电等安全设施定期检测，符合要求。</w:t>
            </w:r>
          </w:p>
        </w:tc>
        <w:tc>
          <w:tcPr>
            <w:tcW w:w="67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7.4</w:t>
            </w:r>
          </w:p>
        </w:tc>
        <w:tc>
          <w:tcPr>
            <w:tcW w:w="3773" w:type="dxa"/>
            <w:gridSpan w:val="2"/>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生产场所和有关设施设置明显的安全警示标志。</w:t>
            </w:r>
          </w:p>
        </w:tc>
        <w:tc>
          <w:tcPr>
            <w:tcW w:w="2431"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《安全生产法》第三十二条</w:t>
            </w:r>
          </w:p>
        </w:tc>
        <w:tc>
          <w:tcPr>
            <w:tcW w:w="179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生产场所设置有安全警示标志。</w:t>
            </w:r>
          </w:p>
        </w:tc>
        <w:tc>
          <w:tcPr>
            <w:tcW w:w="67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w:t>
            </w:r>
          </w:p>
        </w:tc>
        <w:tc>
          <w:tcPr>
            <w:tcW w:w="8671" w:type="dxa"/>
            <w:gridSpan w:val="5"/>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安全生产条件所需证照文件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8.1</w:t>
            </w:r>
          </w:p>
        </w:tc>
        <w:tc>
          <w:tcPr>
            <w:tcW w:w="370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u w:val="single"/>
              </w:rPr>
            </w:pPr>
            <w:r>
              <w:rPr>
                <w:rFonts w:hint="eastAsia" w:ascii="宋体" w:hAnsi="宋体" w:eastAsia="宋体" w:cs="宋体"/>
                <w:color w:val="auto"/>
                <w:kern w:val="2"/>
                <w:sz w:val="21"/>
                <w:szCs w:val="21"/>
              </w:rPr>
              <w:t>工商行政管理部门依据有关部门的许可证件，核发危险化学品生产、储存、经营、运输企业营业执照。</w:t>
            </w:r>
          </w:p>
        </w:tc>
        <w:tc>
          <w:tcPr>
            <w:tcW w:w="2495" w:type="dxa"/>
            <w:gridSpan w:val="2"/>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《企业名称登记管理规定》第三条</w:t>
            </w:r>
          </w:p>
        </w:tc>
        <w:tc>
          <w:tcPr>
            <w:tcW w:w="179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有工商营业执照。</w:t>
            </w:r>
          </w:p>
        </w:tc>
        <w:tc>
          <w:tcPr>
            <w:tcW w:w="67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8.2</w:t>
            </w:r>
          </w:p>
        </w:tc>
        <w:tc>
          <w:tcPr>
            <w:tcW w:w="370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依法应当进行消防验收的建设工程，未经消防验收或者消防验收不合格，擅自投入使用的。</w:t>
            </w:r>
          </w:p>
        </w:tc>
        <w:tc>
          <w:tcPr>
            <w:tcW w:w="2495"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《中华人民共和国消防法》第十三条</w:t>
            </w:r>
          </w:p>
        </w:tc>
        <w:tc>
          <w:tcPr>
            <w:tcW w:w="179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有消防验收意见书。</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8.3</w:t>
            </w:r>
          </w:p>
        </w:tc>
        <w:tc>
          <w:tcPr>
            <w:tcW w:w="370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防雷检测部门对生产、储存场所出具的防雷设施检测验收合格文件。</w:t>
            </w:r>
          </w:p>
        </w:tc>
        <w:tc>
          <w:tcPr>
            <w:tcW w:w="2495" w:type="dxa"/>
            <w:gridSpan w:val="2"/>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《广东省防御雷电灾害管理规定》第九、第十条。</w:t>
            </w:r>
          </w:p>
        </w:tc>
        <w:tc>
          <w:tcPr>
            <w:tcW w:w="179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有防雷检测合格证明</w:t>
            </w:r>
            <w:r>
              <w:rPr>
                <w:rFonts w:hint="eastAsia" w:ascii="宋体" w:hAnsi="宋体" w:eastAsia="宋体" w:cs="宋体"/>
                <w:color w:val="auto"/>
                <w:kern w:val="2"/>
                <w:sz w:val="21"/>
                <w:szCs w:val="21"/>
                <w:lang w:eastAsia="zh-CN"/>
              </w:rPr>
              <w:t>，并在有效期内。</w:t>
            </w:r>
          </w:p>
        </w:tc>
        <w:tc>
          <w:tcPr>
            <w:tcW w:w="67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bl>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根据《中华人民共和国安全生产法》(中华人民共和国主席令第13号)、《安全生产许可证条例》(国务院令第397号)、《危险化学品安全管理条例》(中华人民共和国国务院令第591号，国务院令645号修订)等相关法律、法规的要求对企业的安全管理制度、安全管理组织、从业人员要求、事故预防与处理、安全生产投入、危险物品安全管理、安全生产投入等条件进行了检查评价，检查结果符合规范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0" w:name="bookmark137"/>
      <w:r>
        <w:rPr>
          <w:rFonts w:ascii="宋体" w:hAnsi="宋体" w:eastAsia="宋体" w:cs="Times New Roman"/>
          <w:bCs/>
          <w:color w:val="auto"/>
          <w:kern w:val="2"/>
          <w:sz w:val="28"/>
          <w:szCs w:val="28"/>
          <w:lang w:val="en-US" w:eastAsia="zh-CN" w:bidi="ar-SA"/>
        </w:rPr>
        <w:t>2.1.2生产场所安全检查评价</w:t>
      </w:r>
      <w:bookmarkEnd w:id="180"/>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根据《生产设备安全卫生设计总则》(GB5083-1999)、《生产过程安全卫生要求总则》(GB/T12801-2008)、《工业企业总平面设计规范》(GB50187-2012)、</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lang w:eastAsia="zh-CN"/>
        </w:rPr>
        <w:t>、《危险化学品安全管理条例》等标准，结合该公司生产的实际情况编制安全检查表对该公司的平面布局、建筑、消防、防雷和电气设施、生产设备安全卫生要求、生产过程安全卫生要求等情况进行评价。检查评价结果见附表2-2。</w:t>
      </w:r>
    </w:p>
    <w:p>
      <w:pPr>
        <w:spacing w:line="560" w:lineRule="exact"/>
        <w:jc w:val="center"/>
        <w:rPr>
          <w:rFonts w:ascii="宋体" w:hAnsi="宋体" w:eastAsia="PMingLiU"/>
          <w:b/>
          <w:color w:val="auto"/>
        </w:rPr>
      </w:pPr>
      <w:r>
        <w:rPr>
          <w:rFonts w:ascii="宋体" w:hAnsi="宋体" w:eastAsia="宋体"/>
          <w:b/>
          <w:color w:val="auto"/>
        </w:rPr>
        <w:t>附表2-2生产区安全检查表</w:t>
      </w:r>
    </w:p>
    <w:tbl>
      <w:tblPr>
        <w:tblStyle w:val="46"/>
        <w:tblW w:w="939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46"/>
        <w:gridCol w:w="3217"/>
        <w:gridCol w:w="1988"/>
        <w:gridCol w:w="2683"/>
        <w:gridCol w:w="76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检查项目及内容</w:t>
            </w:r>
          </w:p>
        </w:tc>
        <w:tc>
          <w:tcPr>
            <w:tcW w:w="1988"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依据</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实际情况</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8648" w:type="dxa"/>
            <w:gridSpan w:val="4"/>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平面布局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总平面布置应节约集约用地，提高土地利用率。布置时应符合下列要求：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一、在符合生产流程、操作要求和使用功能的前提下，建筑物、构筑物等设施，应采用联合、集中、多层布置；</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二、应按企业规模和功能分区，合理的确定通道宽度；</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三、厂区、功能分区及建筑物、构筑物的外形宜规整；</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四、功能分区内各项设施的布置，应紧凑、合理。</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《工业企业总平面设计规范》(GB50187-2012)第5.1节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该企业厂区按照功能分区，通道宽畅，功能分区布置合理。</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厂区的通道宽度，应根据下列因素确定：</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一、应符合通道两侧建筑物、构筑物及露天设施对防火、安全与卫生间距的要求；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二、应符合铁路、道路与带式输送机通廊等工业运输线路的布置要求；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三、应符合各种工程管线的布置要求；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四、应符合绿化布置的要求；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五、应符合施工、安装与检修的要求；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六、应符合竖向设计的要求；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七、应符合预留发展用地的要求。</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《工业企业总平面设计规范》(GB50187-2012)</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第5.1节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厂区的通道宽度符合防火、安全与卫生间距、绿化、施工、竖向设计等要求。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1.3</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易燃、易爆危险品生产设施的布置，应保证生产人员的安全操作及疏散方便，并应符合国家现行的有关标准的规定。</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《工业企业总平面设计规范》(GB50187-2012)</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第5.2节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生产车间、仓库的等生产设施的布置，可以保证生产人员的安全操作及安全疏散。</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1.4</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公用设施的布置，宜位于其负荷中心，或靠近主要用户。</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《工业企业总平面设计规范》(GB50187-2012)</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第5.3节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公用设施的布置靠近负荷中心。</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易燃及可燃材料堆场的布置，宜位于厂区边缘，并应远离明火及散发火花的地点。</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《工业企业总平面设计规范》(GB50187-2012)</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第5.6节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布置在远离明火或者是散发火花地点。</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1.6</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出入口的位置和数量，应根据企业的生产规模、总体规划、厂区用地面积及总平面布置等因素综合确定，其数量不宜少于2个。主要人流出入口宜与主要货流出入口分开设置，并应位于厂区主干道通往居住区或城镇的一侧。主要货流出入口应位于主要货流方向，并应与外部运输线路连接方便。</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《工业企业总平面设计规范》(GB50187-2012)</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第5.7节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厂区设有2个出口，主要出入口与进入厂区道路连接。</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1.7</w:t>
            </w:r>
          </w:p>
        </w:tc>
        <w:tc>
          <w:tcPr>
            <w:tcW w:w="3217" w:type="dxa"/>
            <w:vAlign w:val="center"/>
          </w:tcPr>
          <w:p>
            <w:pPr>
              <w:pStyle w:val="252"/>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厂区总平面应按功能分区布置，可分为生产装置区、辅助生产区、公用工程设施区、仓储区和行政办公及生活服务区。辅助生产和公用工程设施也可布置在生产装置区内。功能分区布置应符合下列要求：</w:t>
            </w:r>
          </w:p>
          <w:p>
            <w:pPr>
              <w:pStyle w:val="253"/>
              <w:keepNext w:val="0"/>
              <w:keepLines w:val="0"/>
              <w:suppressLineNumbers w:val="0"/>
              <w:spacing w:before="0" w:beforeAutospacing="0" w:after="0" w:afterAutospacing="0" w:line="240" w:lineRule="auto"/>
              <w:ind w:left="0" w:right="0"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1各功能区内部应布置紧凑、合理并与相邻功能区相协调。</w:t>
            </w:r>
          </w:p>
          <w:p>
            <w:pPr>
              <w:pStyle w:val="253"/>
              <w:keepNext w:val="0"/>
              <w:keepLines w:val="0"/>
              <w:suppressLineNumbers w:val="0"/>
              <w:spacing w:before="0" w:beforeAutospacing="0" w:after="0" w:afterAutospacing="0" w:line="240" w:lineRule="auto"/>
              <w:ind w:left="0" w:right="0"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2各功能区之间物流输送、动力供应便捷合理。</w:t>
            </w:r>
          </w:p>
          <w:p>
            <w:pPr>
              <w:pStyle w:val="253"/>
              <w:keepNext w:val="0"/>
              <w:keepLines w:val="0"/>
              <w:suppressLineNumbers w:val="0"/>
              <w:spacing w:before="0" w:beforeAutospacing="0" w:after="0" w:afterAutospacing="0" w:line="240" w:lineRule="auto"/>
              <w:ind w:left="0" w:right="0"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3生产装置区宜布置在全年最小频率风向的上风侧，行政办公及生活服务设施区宜布置在全年最小频率风向的下风侧，辅助生产和公用工程设施区宜布置在生产装置区与行政办公及生活服务设施区之间。</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《化工企业总图运输设计规范》(GB50489-2009)</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第5.1.4条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厂区总平面按功能分区布置，分为生产区、</w:t>
            </w:r>
            <w:r>
              <w:rPr>
                <w:rFonts w:hint="eastAsia" w:ascii="宋体" w:hAnsi="宋体" w:eastAsia="宋体" w:cs="宋体"/>
                <w:color w:val="auto"/>
                <w:kern w:val="2"/>
                <w:sz w:val="21"/>
                <w:szCs w:val="21"/>
                <w:lang w:eastAsia="zh-CN"/>
              </w:rPr>
              <w:t>办公区</w:t>
            </w:r>
            <w:r>
              <w:rPr>
                <w:rFonts w:hint="eastAsia" w:ascii="宋体" w:hAnsi="宋体" w:eastAsia="宋体" w:cs="宋体"/>
                <w:color w:val="auto"/>
                <w:kern w:val="2"/>
                <w:sz w:val="21"/>
                <w:szCs w:val="21"/>
              </w:rPr>
              <w:t>、</w:t>
            </w:r>
            <w:r>
              <w:rPr>
                <w:rFonts w:hint="eastAsia" w:ascii="宋体" w:hAnsi="宋体" w:eastAsia="宋体" w:cs="宋体"/>
                <w:color w:val="auto"/>
                <w:kern w:val="2"/>
                <w:sz w:val="21"/>
                <w:szCs w:val="21"/>
                <w:lang w:eastAsia="zh-CN"/>
              </w:rPr>
              <w:t>生活区</w:t>
            </w:r>
            <w:r>
              <w:rPr>
                <w:rFonts w:hint="eastAsia" w:ascii="宋体" w:hAnsi="宋体" w:eastAsia="宋体" w:cs="宋体"/>
                <w:color w:val="auto"/>
                <w:kern w:val="2"/>
                <w:sz w:val="21"/>
                <w:szCs w:val="21"/>
              </w:rPr>
              <w:t>，各功能区布置合理。</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1.8</w:t>
            </w:r>
          </w:p>
        </w:tc>
        <w:tc>
          <w:tcPr>
            <w:tcW w:w="3217" w:type="dxa"/>
            <w:vAlign w:val="center"/>
          </w:tcPr>
          <w:p>
            <w:pPr>
              <w:pStyle w:val="252"/>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可能泄漏、散发有毒或腐蚀性气体、粉尘的设施，应避开人员集中活动场所，并应布置在该场所及其他主要生产设备区全年最小频率风向的上风侧。</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《化工企业总图运输设计规范》(GB50489-2009)</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第5.2.3条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可能发生泄漏、散发有毒有害气体，包括生产区和仓储区，均远离人员集中的活动场所。</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1.9</w:t>
            </w:r>
          </w:p>
        </w:tc>
        <w:tc>
          <w:tcPr>
            <w:tcW w:w="3217" w:type="dxa"/>
            <w:vAlign w:val="center"/>
          </w:tcPr>
          <w:p>
            <w:pPr>
              <w:pStyle w:val="252"/>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原料、燃料、材料、成品及半成品的仓库、堆场及储罐，应根据其储存物料的性质、数量、包装及运输方式等条件，按不同类别相对集中布置，并宜靠近相关装置和运输路线，且应符合防火、防爆、安全、卫生的规定。</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《化工企业总图运输设计规范》(GB50489-2009)</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第5.4.1条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厂房四（厂房C）</w:t>
            </w:r>
            <w:r>
              <w:rPr>
                <w:rFonts w:hint="eastAsia" w:ascii="宋体" w:hAnsi="宋体" w:eastAsia="宋体" w:cs="宋体"/>
                <w:color w:val="auto"/>
                <w:kern w:val="2"/>
                <w:sz w:val="21"/>
                <w:szCs w:val="21"/>
              </w:rPr>
              <w:t>、</w:t>
            </w: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的设置符合防火、防爆、安全的规定。</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1.10</w:t>
            </w:r>
          </w:p>
        </w:tc>
        <w:tc>
          <w:tcPr>
            <w:tcW w:w="3217" w:type="dxa"/>
            <w:vAlign w:val="center"/>
          </w:tcPr>
          <w:p>
            <w:pPr>
              <w:pStyle w:val="252"/>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厂区内废弃物临时堆场宜布置在厂区边缘，且不影响厂容的地方。</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《化工企业总图运输设计规范》(GB50489-2009)</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第5.4.12条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厂区临时存放废弃空桶的堆场设在厂内，不影响厂容。</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8648" w:type="dxa"/>
            <w:gridSpan w:val="4"/>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GB"/>
              </w:rPr>
              <w:t>建筑、消防、防雷和电气设施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厂房、库房耐火等级、层数、占地面积应符合表3.3.1、3.3.2的规定。</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第3.3节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w:t>
            </w:r>
            <w:r>
              <w:rPr>
                <w:rFonts w:hint="eastAsia" w:ascii="宋体" w:hAnsi="宋体" w:eastAsia="宋体" w:cs="宋体"/>
                <w:color w:val="auto"/>
                <w:kern w:val="2"/>
                <w:sz w:val="21"/>
                <w:szCs w:val="21"/>
                <w:lang w:eastAsia="zh-CN"/>
              </w:rPr>
              <w:t>厂房</w:t>
            </w:r>
            <w:r>
              <w:rPr>
                <w:rFonts w:hint="eastAsia" w:ascii="宋体" w:hAnsi="宋体" w:eastAsia="宋体" w:cs="宋体"/>
                <w:color w:val="auto"/>
                <w:kern w:val="2"/>
                <w:sz w:val="21"/>
                <w:szCs w:val="21"/>
              </w:rPr>
              <w:t>、仓库均为</w:t>
            </w:r>
            <w:r>
              <w:rPr>
                <w:rFonts w:hint="eastAsia" w:ascii="宋体" w:hAnsi="宋体" w:eastAsia="宋体" w:cs="宋体"/>
                <w:color w:val="auto"/>
                <w:kern w:val="2"/>
                <w:sz w:val="21"/>
                <w:szCs w:val="21"/>
                <w:lang w:eastAsia="zh-CN"/>
              </w:rPr>
              <w:t>单层钢筋混凝土结构，</w:t>
            </w:r>
            <w:r>
              <w:rPr>
                <w:rFonts w:hint="eastAsia" w:ascii="宋体" w:hAnsi="宋体" w:eastAsia="宋体" w:cs="宋体"/>
                <w:color w:val="auto"/>
                <w:kern w:val="2"/>
                <w:sz w:val="21"/>
                <w:szCs w:val="21"/>
              </w:rPr>
              <w:t>耐火等级为二级，厂房的耐火等级、层数和面积符合规范要求。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2.2</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厂房、仓库内严禁设员工宿舍。</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第3.3节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生产车间、仓库内未设员工宿舍。</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2.3</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厂房之间、厂房库房之间的防火间距是否符合表3.4.1的要求。</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第3.4节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厂区内建筑物之间的距离以及与周边建筑的距离满足《建筑设计防火规范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GB50016-2014的要求，详见本报告附件2.1.4节“主要建构物防火间距检查表”。</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2.4</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消防给水和灭火设备应符合国家标准要求，并经公安消防部门验收合格。</w:t>
            </w:r>
          </w:p>
        </w:tc>
        <w:tc>
          <w:tcPr>
            <w:tcW w:w="1988"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《中华人民共和国消防法》第十三条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该企业有公安消防部门出具的建筑工程消防验收意见书。</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2.5</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988"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《中华人民共和国消防法》第二十八条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该企业厂区内消防器材有专人管理，消防器材设置在明显和便于取用地点，周围无其他物品堆放。</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2.6</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建筑物、堆场的消防用电设备，其电源应符合要求。</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第10.1节</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工厂用电为外接电源，消防用电按二级负荷供电。</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2.7</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用电设备的配电线路应满足火灾时连续供电的需要，其敷设应符合下列规定：暗敷时，应穿管并应敷设在不燃烧体结构内且保护层厚度不应小于30mm，明敷时，应穿金属管或封闭式金属线槽，并应采取防火保护措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第10.1.10条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消防用电设备的配电线路穿金属管保护。</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2.8</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电力电缆不得与输送可燃液体管道、热力管道敷设在同一管沟内。</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第10.2.2条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电力电缆未与输送可燃液体管道、热力管道敷设在同一管沟内。</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2.9</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开关、插座、照明灯具表面靠近可燃物时，应采取隔热、散热等防火保护措施。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第10.2.4条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开关、插座、照明灯具表面没有靠近可燃物。</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2.10</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爆炸危险环境电力装置的设计应按现行国家标准《爆炸危险环境电力装置设计规范》(GB50058)相关规定。</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第10.2.6条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u w:val="single"/>
                <w:lang w:eastAsia="zh-CN"/>
              </w:rPr>
            </w:pPr>
            <w:r>
              <w:rPr>
                <w:rFonts w:hint="eastAsia" w:ascii="宋体" w:hAnsi="宋体" w:eastAsia="宋体" w:cs="宋体"/>
                <w:color w:val="auto"/>
                <w:kern w:val="2"/>
                <w:sz w:val="21"/>
                <w:szCs w:val="21"/>
                <w:lang w:eastAsia="zh-CN"/>
              </w:rPr>
              <w:t>厂房四（厂房C）</w:t>
            </w:r>
            <w:r>
              <w:rPr>
                <w:rFonts w:hint="eastAsia" w:ascii="宋体" w:hAnsi="宋体" w:eastAsia="宋体" w:cs="宋体"/>
                <w:color w:val="auto"/>
                <w:kern w:val="2"/>
                <w:sz w:val="21"/>
                <w:szCs w:val="21"/>
              </w:rPr>
              <w:t>、仓库均采用防爆电气，电力线套钢管保护</w:t>
            </w:r>
            <w:r>
              <w:rPr>
                <w:rFonts w:hint="eastAsia" w:ascii="宋体" w:hAnsi="宋体" w:eastAsia="宋体" w:cs="宋体"/>
                <w:color w:val="auto"/>
                <w:kern w:val="2"/>
                <w:sz w:val="21"/>
                <w:szCs w:val="21"/>
                <w:lang w:eastAsia="zh-CN"/>
              </w:rPr>
              <w:t>，符合防爆要求。</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2.11</w:t>
            </w:r>
          </w:p>
        </w:tc>
        <w:tc>
          <w:tcPr>
            <w:tcW w:w="3217" w:type="dxa"/>
            <w:vAlign w:val="center"/>
          </w:tcPr>
          <w:p>
            <w:pPr>
              <w:pStyle w:val="41"/>
              <w:keepNext w:val="0"/>
              <w:keepLines w:val="0"/>
              <w:suppressLineNumbers w:val="0"/>
              <w:spacing w:before="0" w:beforeAutospacing="0" w:after="0" w:afterAutospacing="0" w:line="240" w:lineRule="auto"/>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《危险化学品安全管理条例》第20条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生产车间、仓库设置有防火、灭火、防雷、防静电、防泄漏等安全设施</w:t>
            </w:r>
            <w:r>
              <w:rPr>
                <w:rFonts w:hint="eastAsia" w:ascii="宋体" w:hAnsi="宋体" w:eastAsia="宋体" w:cs="宋体"/>
                <w:color w:val="auto"/>
                <w:kern w:val="2"/>
                <w:sz w:val="21"/>
                <w:szCs w:val="21"/>
                <w:lang w:eastAsia="zh-CN"/>
              </w:rPr>
              <w:t>。</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u w:val="single"/>
              </w:rPr>
            </w:pPr>
            <w:r>
              <w:rPr>
                <w:rFonts w:hint="eastAsia" w:ascii="宋体" w:hAnsi="宋体" w:eastAsia="宋体" w:cs="宋体"/>
                <w:color w:val="auto"/>
                <w:kern w:val="2"/>
                <w:sz w:val="21"/>
                <w:szCs w:val="21"/>
              </w:rPr>
              <w:t>生产车间、仓库防雷设施定期检测合格，有防雷装置检测报告。</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2.12</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建筑内可能散发可燃气体、可燃蒸气的场所，应设置可燃气体报警装置。</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第8.4.3条</w:t>
            </w:r>
          </w:p>
        </w:tc>
        <w:tc>
          <w:tcPr>
            <w:tcW w:w="2683"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生产车间内按要求设置可燃气体报警装置，符合要求。</w:t>
            </w:r>
          </w:p>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厂房四（厂房C）内可燃气体探测器不足，不符合要求</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不合格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2.13</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化工生产装置、设备、设施、储罐以及建筑物，应设计可靠的防雷保护装置，防止雷电对人身、设备和建构筑物的危害和破坏。</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《化工企业安全卫生设计规范》HG20571-2014第4.3.1条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有防雷保护装置。</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2.14</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有火灾爆炸危险的化工装置、露天设备、储罐、电气设施和建构筑物应设计防直击雷装置。</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《化工企业安全卫生设计规范》HG20571-2014第4.3.3条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有防直击雷装置。</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2.15</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凡应采用安全电压的场所，应采用安全电压。</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《化工企业安全卫生设计规范》HG20571-2014第4.4.3条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采用安全电压。</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2.16</w:t>
            </w:r>
          </w:p>
        </w:tc>
        <w:tc>
          <w:tcPr>
            <w:tcW w:w="3217" w:type="dxa"/>
            <w:vAlign w:val="center"/>
          </w:tcPr>
          <w:p>
            <w:pPr>
              <w:pStyle w:val="254"/>
              <w:keepNext w:val="0"/>
              <w:keepLines w:val="0"/>
              <w:suppressLineNumbers w:val="0"/>
              <w:spacing w:before="0" w:beforeAutospacing="0" w:after="0" w:afterAutospacing="0" w:line="240" w:lineRule="auto"/>
              <w:ind w:left="0" w:right="0"/>
              <w:rPr>
                <w:rFonts w:hint="eastAsia" w:ascii="宋体" w:hAnsi="宋体" w:eastAsia="宋体" w:cs="宋体"/>
                <w:color w:val="auto"/>
                <w:sz w:val="21"/>
                <w:szCs w:val="21"/>
              </w:rPr>
            </w:pPr>
            <w:r>
              <w:rPr>
                <w:rFonts w:hint="eastAsia" w:ascii="宋体" w:hAnsi="宋体" w:eastAsia="宋体" w:cs="宋体"/>
                <w:color w:val="auto"/>
                <w:sz w:val="21"/>
                <w:szCs w:val="21"/>
              </w:rPr>
              <w:t>进行消防设计的建筑工程需经过公安消防结构验收合格。</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《危险化学品生产企业安全生产许可证实施办法》第十二条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有《建筑工程消防验收意见书》。</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2.17</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厂区危险场所必须设置防雷设施和设备，并定期检测。</w:t>
            </w:r>
          </w:p>
        </w:tc>
        <w:tc>
          <w:tcPr>
            <w:tcW w:w="1988" w:type="dxa"/>
            <w:vAlign w:val="center"/>
          </w:tcPr>
          <w:p>
            <w:pPr>
              <w:pStyle w:val="251"/>
              <w:keepNext w:val="0"/>
              <w:keepLines w:val="0"/>
              <w:suppressLineNumbers w:val="0"/>
              <w:spacing w:before="0" w:beforeAutospacing="0" w:after="0" w:afterAutospacing="0" w:line="240" w:lineRule="auto"/>
              <w:ind w:left="0" w:right="0" w:firstLine="420"/>
              <w:rPr>
                <w:rFonts w:hint="eastAsia" w:ascii="宋体" w:hAnsi="宋体" w:eastAsia="宋体" w:cs="宋体"/>
                <w:color w:val="auto"/>
                <w:sz w:val="21"/>
                <w:szCs w:val="21"/>
              </w:rPr>
            </w:pPr>
            <w:r>
              <w:rPr>
                <w:rFonts w:hint="eastAsia" w:ascii="宋体" w:hAnsi="宋体" w:eastAsia="宋体" w:cs="宋体"/>
                <w:color w:val="auto"/>
                <w:sz w:val="21"/>
                <w:szCs w:val="21"/>
              </w:rPr>
              <w:t>《危险化学品生产企业安全生产许可证实施办法》第十二条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有防雷检测报告和合格证</w:t>
            </w:r>
            <w:r>
              <w:rPr>
                <w:rFonts w:hint="eastAsia" w:ascii="宋体" w:hAnsi="宋体" w:eastAsia="宋体" w:cs="宋体"/>
                <w:color w:val="auto"/>
                <w:kern w:val="2"/>
                <w:sz w:val="21"/>
                <w:szCs w:val="21"/>
                <w:lang w:eastAsia="zh-CN"/>
              </w:rPr>
              <w:t>，并在有效期内。</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2.18</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重点防火、防爆作业区的入口处，应设计人体导除静电装置。</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《化工企业安全卫生设计规范》HG20571-2014第4.2.10条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厂房四（厂房C）</w:t>
            </w:r>
            <w:r>
              <w:rPr>
                <w:rFonts w:hint="eastAsia" w:ascii="宋体" w:hAnsi="宋体" w:eastAsia="宋体" w:cs="宋体"/>
                <w:color w:val="auto"/>
                <w:kern w:val="2"/>
                <w:sz w:val="21"/>
                <w:szCs w:val="21"/>
              </w:rPr>
              <w:t>、</w:t>
            </w: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入口处均安装有人体静电消除装置。</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w:t>
            </w:r>
          </w:p>
        </w:tc>
        <w:tc>
          <w:tcPr>
            <w:tcW w:w="8648" w:type="dxa"/>
            <w:gridSpan w:val="4"/>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u w:val="single"/>
              </w:rPr>
            </w:pPr>
            <w:r>
              <w:rPr>
                <w:rFonts w:hint="eastAsia" w:ascii="宋体" w:hAnsi="宋体" w:eastAsia="宋体" w:cs="宋体"/>
                <w:color w:val="auto"/>
                <w:kern w:val="2"/>
                <w:sz w:val="21"/>
                <w:szCs w:val="21"/>
              </w:rPr>
              <w:t>生产设备安全要求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使用的生产设备是否是国家淘汰的生产装备。</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fldChar w:fldCharType="begin"/>
            </w:r>
            <w:r>
              <w:rPr>
                <w:rFonts w:hint="eastAsia" w:ascii="宋体" w:hAnsi="宋体" w:eastAsia="宋体" w:cs="宋体"/>
                <w:color w:val="auto"/>
                <w:kern w:val="2"/>
                <w:sz w:val="21"/>
                <w:szCs w:val="21"/>
              </w:rPr>
              <w:instrText xml:space="preserve"> HYPERLINK "http://www.sdpc.gov.cn/zcfb/zcfbl/2013ling/W020130226380863208670.pdf" </w:instrText>
            </w:r>
            <w:r>
              <w:rPr>
                <w:rFonts w:hint="eastAsia" w:ascii="宋体" w:hAnsi="宋体" w:eastAsia="宋体" w:cs="宋体"/>
                <w:color w:val="auto"/>
                <w:kern w:val="2"/>
                <w:sz w:val="21"/>
                <w:szCs w:val="21"/>
              </w:rPr>
              <w:fldChar w:fldCharType="separate"/>
            </w:r>
            <w:r>
              <w:rPr>
                <w:rStyle w:val="53"/>
                <w:rFonts w:hint="eastAsia" w:ascii="宋体" w:hAnsi="宋体" w:eastAsia="宋体" w:cs="宋体"/>
                <w:color w:val="auto"/>
                <w:kern w:val="2"/>
                <w:sz w:val="21"/>
                <w:szCs w:val="21"/>
                <w:u w:val="none"/>
              </w:rPr>
              <w:t>《国家发展改革委关于修改&lt;产业结构调整指导目录(2011年本)&gt;有关条款的决定》</w:t>
            </w:r>
            <w:r>
              <w:rPr>
                <w:rStyle w:val="53"/>
                <w:rFonts w:hint="eastAsia" w:ascii="宋体" w:hAnsi="宋体" w:eastAsia="宋体" w:cs="宋体"/>
                <w:color w:val="auto"/>
                <w:kern w:val="2"/>
                <w:sz w:val="21"/>
                <w:szCs w:val="21"/>
                <w:u w:val="none"/>
              </w:rPr>
              <w:fldChar w:fldCharType="end"/>
            </w:r>
            <w:r>
              <w:rPr>
                <w:rFonts w:hint="eastAsia" w:ascii="宋体" w:hAnsi="宋体" w:eastAsia="宋体" w:cs="宋体"/>
                <w:color w:val="auto"/>
                <w:kern w:val="2"/>
                <w:sz w:val="21"/>
                <w:szCs w:val="21"/>
              </w:rPr>
              <w:t>(中华人民共和国家发展和改革委员会令第21号</w:t>
            </w:r>
            <w:r>
              <w:rPr>
                <w:rFonts w:hint="eastAsia" w:ascii="宋体" w:hAnsi="宋体" w:eastAsia="宋体" w:cs="宋体"/>
                <w:bCs/>
                <w:color w:val="auto"/>
                <w:kern w:val="2"/>
                <w:sz w:val="21"/>
                <w:szCs w:val="21"/>
              </w:rPr>
              <w:t>)</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生产装备不是淘汰的设备。</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3.2</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生产设备及其零部件，具有足够的强度、刚度、稳定性和可靠性。在按规定的条件使用时，不得对人员造成危险。</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《生产设备安全卫生设计总则》</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GB5083-1999第4.1条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设备都是由正规厂家生产，按照正常条件使用，不会对人体造成伤害。</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3.3</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生产设备在规定的整个使用期限内，均应满足安全卫生要求。对于可能影响安全操作、控制的零部件、装置等应规定符合产品标准要求的可靠性指标。</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《生产设备安全卫生设计总则》</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GB5083-1999第4.6条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设备在使用寿命期内。</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3.4</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在规定的使用期阴内，生产设备应满足使用环境要求，特别是满足防腐蚀、耐磨损、抗疲劳、抗老化和抵御失效的要求。</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《生产设备安全卫生设计总则》</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GB5083-1999第5.1条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设备材料为碳钢及不锈钢，满足使用环境。</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3.5</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的材料，必须能承受可能出现的各种物理的、化学和生物的作用。例如：对人有害的材料，因材料老化或疲劳可能引起危险；易被腐蚀或空蚀；与工件介质发生反应而造成危险(爆炸造成有害物质等)的材料</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《生产设备安全卫生设计总则》</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GB5083-1999第5.2.条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所选择的设备，其材料符合其使用的环境，不会出现对人体有危害、易老化、易疲劳、易腐蚀等情况。</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3.6</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生产设备不得在振动、风力或其它预期的外载荷作用下倾覆，或产生不应有的位移。</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《生产设备安全卫生设计总则》</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GB5083-1999第5.3条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设备为室内设备，车间内无大振动源，安装牢固，正常的载荷不会导致倾覆或产生不应有的位移。</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3.7</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安全防护装置的配置符合国家有关标准</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第三十三条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安全防护装置等安全设施符合要求。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w:t>
            </w:r>
          </w:p>
        </w:tc>
        <w:tc>
          <w:tcPr>
            <w:tcW w:w="8648" w:type="dxa"/>
            <w:gridSpan w:val="4"/>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生产过程安全要求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使用的生产工艺不是国家淘汰的生产工艺。</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《安全生产法》</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第三十五条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该企业采用的工艺为国内通用工艺。</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w:t>
            </w:r>
          </w:p>
        </w:tc>
        <w:tc>
          <w:tcPr>
            <w:tcW w:w="3217" w:type="dxa"/>
            <w:vAlign w:val="center"/>
          </w:tcPr>
          <w:p>
            <w:pPr>
              <w:pStyle w:val="41"/>
              <w:keepNext w:val="0"/>
              <w:keepLines w:val="0"/>
              <w:suppressLineNumbers w:val="0"/>
              <w:spacing w:before="0" w:beforeAutospacing="0" w:after="0" w:afterAutospacing="0" w:line="240" w:lineRule="auto"/>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任何单位和个人不得生产、经营、使用国家禁止生产、经营、使用的危险化学品。</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《危险化学品安全管理条例》第五条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没有生产、使用国家禁止的危险化学品。</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4.3</w:t>
            </w:r>
          </w:p>
        </w:tc>
        <w:tc>
          <w:tcPr>
            <w:tcW w:w="3217"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使用剧毒化学品、易制爆危险化学品的单位不得出借、转让其购买的剧毒化学品、易制爆危险化学品。</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《危险化学品安全管理条例》第四十二条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不涉及剧毒品及易制爆危险化学品。</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4.4</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根据危险和有害源特点，明确规定相应的安全、卫生防护距离和防护带。</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《生产过程安全卫生要求总则》GB/T12801－2008第4.3条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根据危险和有害源特点，设定的安全、卫生</w:t>
            </w:r>
            <w:r>
              <w:rPr>
                <w:rFonts w:hint="eastAsia" w:ascii="宋体" w:hAnsi="宋体" w:eastAsia="宋体" w:cs="宋体"/>
                <w:color w:val="auto"/>
                <w:kern w:val="2"/>
                <w:sz w:val="21"/>
                <w:szCs w:val="21"/>
                <w:lang w:val="en-GB"/>
              </w:rPr>
              <w:t>防护距离符合要求。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4.5</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应如实告知作业人员生产过程中的危险和有害因素，包括：</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a.生产过程中存在的或可能产生的危险和有害因素的类别、数量和性质，危害的途径和后果；</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b.可能产生危险和有害作用的过程、设备、场所和物料；</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c.危险和有害因素的危害程度或浓度，以及国家有关法规和标准规定的指标。</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《生产过程安全卫生要求总则》GB/T12801－2008第5.1条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对作业人员生产过程中的危险和有害因素有明示、告知。</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4.6</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工艺、作业和施工过程的设计、组织和实施应尽量保证作业安全性。</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第5.3条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工艺、作业和施工过程的设计充分考虑到作业人员的安全性。</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4.7</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生产厂房的结构强度、耐火等级、通风、采光、照明等，均应按其使用特点和地区环境条件符合有关标准规定，必要时应有防水、防漏措施。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第5.4.1条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生产车间建筑物耐火等级为二级，采用强制通风和自然通风相结合的通风方式，</w:t>
            </w:r>
            <w:r>
              <w:rPr>
                <w:rFonts w:hint="eastAsia" w:ascii="宋体" w:hAnsi="宋体" w:eastAsia="宋体" w:cs="宋体"/>
                <w:color w:val="auto"/>
                <w:kern w:val="2"/>
                <w:sz w:val="21"/>
                <w:szCs w:val="21"/>
              </w:rPr>
              <w:t>采光、照明符合要求</w:t>
            </w:r>
            <w:r>
              <w:rPr>
                <w:rFonts w:hint="eastAsia" w:ascii="宋体" w:hAnsi="宋体" w:eastAsia="宋体" w:cs="宋体"/>
                <w:color w:val="auto"/>
                <w:kern w:val="2"/>
                <w:sz w:val="21"/>
                <w:szCs w:val="21"/>
                <w:lang w:val="en-GB"/>
              </w:rPr>
              <w:t>。</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4.8</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建(构)筑物的通风换气条件，应保证作业环境空气中的危险和有害物质浓度不超过国家标准和有关规定。</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第5.4.2条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采用强制通风和自然通风相结合的通风方式</w:t>
            </w:r>
            <w:r>
              <w:rPr>
                <w:rFonts w:hint="eastAsia" w:ascii="宋体" w:hAnsi="宋体" w:eastAsia="宋体" w:cs="宋体"/>
                <w:color w:val="auto"/>
                <w:kern w:val="2"/>
                <w:sz w:val="21"/>
                <w:szCs w:val="21"/>
              </w:rPr>
              <w:t>，</w:t>
            </w:r>
            <w:r>
              <w:rPr>
                <w:rFonts w:hint="eastAsia" w:ascii="宋体" w:hAnsi="宋体" w:eastAsia="宋体" w:cs="宋体"/>
                <w:color w:val="auto"/>
                <w:kern w:val="2"/>
                <w:sz w:val="21"/>
                <w:szCs w:val="21"/>
                <w:lang w:val="en-GB"/>
              </w:rPr>
              <w:t>生产场所</w:t>
            </w:r>
            <w:r>
              <w:rPr>
                <w:rFonts w:hint="eastAsia" w:ascii="宋体" w:hAnsi="宋体" w:eastAsia="宋体" w:cs="宋体"/>
                <w:color w:val="auto"/>
                <w:kern w:val="2"/>
                <w:sz w:val="21"/>
                <w:szCs w:val="21"/>
              </w:rPr>
              <w:t>危险和有害物质浓度符合国家标准。</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4.9</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生产、处理、贮存有极度和高度危害毒物的厂房和仓库，其墙壁、顶棚和地面均应光滑，便于清扫，必要时加保护层及专门清洗设施。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第5.4.4条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不涉及极度和高度危害物质。</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4.10</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有爆炸危险场所的建(构)筑物的结构形式以及选用的建筑材料，必须符合防火、防爆要求。</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第5.4.5条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生产车间的建筑物</w:t>
            </w:r>
            <w:r>
              <w:rPr>
                <w:rFonts w:hint="eastAsia" w:ascii="宋体" w:hAnsi="宋体" w:eastAsia="宋体" w:cs="宋体"/>
                <w:color w:val="auto"/>
                <w:kern w:val="2"/>
                <w:sz w:val="21"/>
                <w:szCs w:val="21"/>
              </w:rPr>
              <w:t>选用的建筑材料，符合防火、防爆要求。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4.11</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危险性作业场所，应设置安全通道，应设应急照明、安全标志和应急疏散标志，门窗应向外开启，通道和出口应保持畅通。</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第5.4.6条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eastAsia="zh-CN"/>
              </w:rPr>
              <w:t>厂房四（厂房C）</w:t>
            </w:r>
            <w:r>
              <w:rPr>
                <w:rFonts w:hint="eastAsia" w:ascii="宋体" w:hAnsi="宋体" w:eastAsia="宋体" w:cs="宋体"/>
                <w:color w:val="auto"/>
                <w:kern w:val="2"/>
                <w:sz w:val="21"/>
                <w:szCs w:val="21"/>
                <w:lang w:val="en-GB"/>
              </w:rPr>
              <w:t>已设置安全通道及应急照明。</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4.12</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应优先采用无毒或者低毒的生产物料，使用给人员带来危险和有害作用的生产物料应采取相应的防护措施，并制订使用、处理、贮存和运输的安全、卫生标准。</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第5.5.1条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目前企业采用的原材料即为低毒的材料。</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4.13</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对不易搬运的物料，应设置或采用便于吊装及搬运的装置或设施。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第5.5.2条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该企业生产过程中不易搬运的物料采用</w:t>
            </w:r>
            <w:r>
              <w:rPr>
                <w:rFonts w:hint="eastAsia" w:ascii="宋体" w:hAnsi="宋体" w:eastAsia="宋体" w:cs="宋体"/>
                <w:color w:val="auto"/>
                <w:kern w:val="2"/>
                <w:sz w:val="21"/>
                <w:szCs w:val="21"/>
                <w:lang w:val="en-GB" w:eastAsia="zh-CN"/>
              </w:rPr>
              <w:t>防爆</w:t>
            </w:r>
            <w:r>
              <w:rPr>
                <w:rFonts w:hint="eastAsia" w:ascii="宋体" w:hAnsi="宋体" w:eastAsia="宋体" w:cs="宋体"/>
                <w:color w:val="auto"/>
                <w:kern w:val="2"/>
                <w:sz w:val="21"/>
                <w:szCs w:val="21"/>
                <w:lang w:val="en-GB"/>
              </w:rPr>
              <w:t>叉车搬运。</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4.14</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设备、设施、管线、电缆配置和作业区物料不应对人员、生产和运输造成有害影响。</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第5.7.1条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设备、设施、电缆配置和作业区物料不会对作业人员造成影响。</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4.15</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在设备、设施、管线上有发生坠落危险的部位，应配置便于人员操作、检查和维修的扶梯、平台、围栏和系挂装置等附属设施。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第5.7.1条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配套的电机旋转部位设置了防护罩。</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4.16</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设备布置应便于操作和和人员的逃生。对易产生危害的设备应采取防护措施。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第5.7.2条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设备布置考虑到了人员的操作和逃生。</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4.17</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作业区的布置应便于人员工作，能确保作业人员的安全</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第5.7.5条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作业区的布置便于人员作业。</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4.18</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生产物料、产品、剩余物料的贮存符合国家标准，确保生产过程的安全性。</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第5.8.1条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车间内生产物料、产品、剩余物料的贮存符合要求。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4.19</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物料、产品、剩余物料的运输应满足：a运输管道和容器不应受物料侵蚀，管道和包装容器应符合有关标准。b大件物料，应采用机械吊装输送，并掌握车辆，道路环境等情况，以确保输送安全；c输送危险品时，必须符合配装规定；d对输送管线、设备和工具应定期进行维护、保养和检修；e．装卸、运输方法应符合GB4387和有关标准规定，或根据作业特点和环境条件，编写专门的装卸作业安全规程。</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第5.8.2条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该企业原料、成品均采用包装桶，装卸作业有相关的操作规程。</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4.20</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参加生产的各类人员，均需进行职业适应性选择，其心理、生理条件应满足工作性质要求；且参加生产的人员均需进行体检，其健康状况必须符合工作性质要求。</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第5.9.1条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生产作业人员经过企业培训以及相关检查，没有禁忌的作业人员，符合要求。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4.21</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生产人员除了掌握必须的技能外，还应了解生产过程中的各种危险有害因素，了解各种消防器材、个体防护和应急措施。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第5.9.2条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公司定期对作业人员进行培训，使工人能够了解相关内容。</w:t>
            </w:r>
          </w:p>
        </w:tc>
        <w:tc>
          <w:tcPr>
            <w:tcW w:w="76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4.22</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生产过程中的防护用品应满足岗位、人员要求，要保证防护用品的质量和性能，对用过的防护用品，应制订严格的管理制度，统一洗涤、消毒、保管和销毁。</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第6.2条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生产过程的防护用品按照不同的岗位配置，满足要求，制订了管理制度。</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4.23</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具有火灾爆炸危险的生产过程，应综合考虑防火防爆措施和报警系统，合理选择和配备消防设施。</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《生产过程安全卫生要求总则》GB/T12801－2008</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第6.3.1条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eastAsia="zh-CN"/>
              </w:rPr>
              <w:t>厂房四（厂房C）</w:t>
            </w:r>
            <w:r>
              <w:rPr>
                <w:rFonts w:hint="eastAsia" w:ascii="宋体" w:hAnsi="宋体" w:eastAsia="宋体" w:cs="宋体"/>
                <w:color w:val="auto"/>
                <w:kern w:val="2"/>
                <w:sz w:val="21"/>
                <w:szCs w:val="21"/>
                <w:lang w:val="en-GB"/>
              </w:rPr>
              <w:t>、仓库设置了报警系统和灭火器等，消防设施配置符合要求。</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4.24</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在有毒性危害的作业环境中，应设计必要的淋洗器、洗眼器等卫生防护设施，其服务半径小于15m。并根据作业特点和防护要求，配置事故柜、急救箱和个人防护用品。</w:t>
            </w:r>
          </w:p>
        </w:tc>
        <w:tc>
          <w:tcPr>
            <w:tcW w:w="1988"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《化工企业安全卫生设计规范》HG20571-2014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第5.1.6条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危险化学品仓库周边设置有洗眼喷淋装置</w:t>
            </w:r>
            <w:r>
              <w:rPr>
                <w:rFonts w:hint="eastAsia" w:ascii="宋体" w:hAnsi="宋体" w:eastAsia="宋体" w:cs="宋体"/>
                <w:color w:val="auto"/>
                <w:kern w:val="2"/>
                <w:sz w:val="21"/>
                <w:szCs w:val="21"/>
              </w:rPr>
              <w:t>。</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46"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4.25</w:t>
            </w:r>
          </w:p>
        </w:tc>
        <w:tc>
          <w:tcPr>
            <w:tcW w:w="321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在易燃易爆区域的所有金属设备、管道等都必须设计静电接地，并与接地网连通，且门、窗等均应接地。</w:t>
            </w:r>
          </w:p>
        </w:tc>
        <w:tc>
          <w:tcPr>
            <w:tcW w:w="1988" w:type="dxa"/>
            <w:vAlign w:val="center"/>
          </w:tcPr>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《化工企业静电接地设计规程》(HG/T20675-1990)第3.2.4条</w:t>
            </w:r>
          </w:p>
        </w:tc>
        <w:tc>
          <w:tcPr>
            <w:tcW w:w="2683"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已设置静电接地。</w:t>
            </w:r>
          </w:p>
        </w:tc>
        <w:tc>
          <w:tcPr>
            <w:tcW w:w="76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合格</w:t>
            </w:r>
          </w:p>
        </w:tc>
      </w:tr>
    </w:tbl>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通过检</w:t>
      </w:r>
      <w:r>
        <w:rPr>
          <w:rFonts w:ascii="宋体" w:hAnsi="宋体" w:eastAsia="宋体"/>
          <w:b w:val="0"/>
          <w:bCs w:val="0"/>
          <w:color w:val="auto"/>
          <w:sz w:val="28"/>
          <w:szCs w:val="28"/>
        </w:rPr>
        <w:t>查表对生产区的建筑、消防、电气设施、生产设备安全卫生要求、生产过程安全卫生要</w:t>
      </w:r>
      <w:r>
        <w:rPr>
          <w:rFonts w:ascii="宋体" w:hAnsi="宋体" w:eastAsia="宋体"/>
          <w:color w:val="auto"/>
          <w:sz w:val="28"/>
          <w:szCs w:val="28"/>
        </w:rPr>
        <w:t>求等方面进行了检查，</w:t>
      </w:r>
      <w:r>
        <w:rPr>
          <w:rFonts w:hint="eastAsia" w:ascii="宋体" w:hAnsi="宋体" w:eastAsia="宋体"/>
          <w:color w:val="auto"/>
          <w:sz w:val="28"/>
          <w:szCs w:val="28"/>
          <w:lang w:eastAsia="zh-CN"/>
        </w:rPr>
        <w:t>其中有</w:t>
      </w:r>
      <w:r>
        <w:rPr>
          <w:rFonts w:hint="eastAsia" w:ascii="宋体" w:hAnsi="宋体" w:eastAsia="宋体"/>
          <w:color w:val="auto"/>
          <w:sz w:val="28"/>
          <w:szCs w:val="28"/>
          <w:lang w:val="en-US" w:eastAsia="zh-CN"/>
        </w:rPr>
        <w:t>1</w:t>
      </w:r>
      <w:r>
        <w:rPr>
          <w:rFonts w:hint="eastAsia" w:ascii="宋体" w:hAnsi="宋体" w:eastAsia="宋体"/>
          <w:color w:val="auto"/>
          <w:sz w:val="28"/>
          <w:szCs w:val="28"/>
          <w:lang w:eastAsia="zh-CN"/>
        </w:rPr>
        <w:t>项不符合，其余</w:t>
      </w:r>
      <w:r>
        <w:rPr>
          <w:rFonts w:ascii="宋体" w:hAnsi="宋体" w:eastAsia="宋体"/>
          <w:color w:val="auto"/>
          <w:sz w:val="28"/>
          <w:szCs w:val="28"/>
        </w:rPr>
        <w:t>符合要求。</w:t>
      </w:r>
      <w:r>
        <w:rPr>
          <w:rFonts w:hint="eastAsia" w:ascii="宋体" w:hAnsi="宋体" w:eastAsia="宋体"/>
          <w:color w:val="auto"/>
          <w:sz w:val="28"/>
          <w:szCs w:val="28"/>
          <w:lang w:eastAsia="zh-CN"/>
        </w:rPr>
        <w:t>不符合项具体为：</w:t>
      </w:r>
    </w:p>
    <w:p>
      <w:pPr>
        <w:spacing w:line="560" w:lineRule="exact"/>
        <w:ind w:firstLine="425" w:firstLineChars="152"/>
        <w:jc w:val="both"/>
        <w:rPr>
          <w:rFonts w:hint="eastAsia" w:ascii="宋体" w:hAnsi="宋体" w:eastAsia="宋体"/>
          <w:b w:val="0"/>
          <w:bCs w:val="0"/>
          <w:color w:val="auto"/>
          <w:sz w:val="28"/>
          <w:szCs w:val="28"/>
        </w:rPr>
      </w:pPr>
      <w:r>
        <w:rPr>
          <w:rFonts w:hint="eastAsia" w:ascii="宋体" w:hAnsi="宋体" w:eastAsia="宋体"/>
          <w:b w:val="0"/>
          <w:bCs w:val="0"/>
          <w:color w:val="auto"/>
          <w:sz w:val="28"/>
          <w:szCs w:val="28"/>
          <w:lang w:val="en-US" w:eastAsia="zh-CN"/>
        </w:rPr>
        <w:t>1）</w:t>
      </w:r>
      <w:r>
        <w:rPr>
          <w:rFonts w:hint="eastAsia" w:ascii="宋体" w:hAnsi="宋体" w:eastAsia="宋体"/>
          <w:b w:val="0"/>
          <w:bCs w:val="0"/>
          <w:color w:val="auto"/>
          <w:sz w:val="28"/>
          <w:szCs w:val="28"/>
          <w:lang w:eastAsia="zh-CN"/>
        </w:rPr>
        <w:t>厂房四（厂房C）内可燃气体探测器不足，不符合要求。</w:t>
      </w:r>
    </w:p>
    <w:p>
      <w:pPr>
        <w:spacing w:line="56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该公司根据整改意见进行了整改，整改后符合要求。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1" w:name="bookmark138"/>
      <w:r>
        <w:rPr>
          <w:rFonts w:ascii="宋体" w:hAnsi="宋体" w:eastAsia="宋体" w:cs="Times New Roman"/>
          <w:bCs/>
          <w:color w:val="auto"/>
          <w:kern w:val="2"/>
          <w:sz w:val="28"/>
          <w:szCs w:val="28"/>
          <w:lang w:val="en-US" w:eastAsia="zh-CN" w:bidi="ar-SA"/>
        </w:rPr>
        <w:t>2.1.3储存场所安全检查评价</w:t>
      </w:r>
      <w:bookmarkEnd w:id="181"/>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根据《常用化学危险品贮存通则》(GB15603-1995)、《易燃易爆性商品储存养护技术条件》(GB17914-2013)、《仓库防火安全管理规则》(公安部令第6号)、《建筑设计防火规范</w:t>
      </w:r>
      <w:r>
        <w:rPr>
          <w:rFonts w:hint="eastAsia" w:ascii="宋体" w:hAnsi="宋体" w:eastAsia="宋体"/>
          <w:color w:val="auto"/>
          <w:sz w:val="28"/>
          <w:szCs w:val="28"/>
          <w:lang w:eastAsia="zh-CN"/>
        </w:rPr>
        <w:t>（2018年版）</w:t>
      </w:r>
      <w:r>
        <w:rPr>
          <w:rFonts w:ascii="宋体" w:hAnsi="宋体" w:eastAsia="宋体"/>
          <w:color w:val="auto"/>
          <w:sz w:val="28"/>
          <w:szCs w:val="28"/>
        </w:rPr>
        <w:t>》(GB50016-2014)等编制安全检查表对储存场所的安全要求进行安全检查评价，检查结果见附表2-3。</w:t>
      </w:r>
    </w:p>
    <w:p>
      <w:pPr>
        <w:spacing w:line="560" w:lineRule="exact"/>
        <w:jc w:val="center"/>
        <w:rPr>
          <w:rFonts w:ascii="宋体" w:hAnsi="宋体" w:eastAsia="PMingLiU"/>
          <w:b/>
          <w:color w:val="auto"/>
        </w:rPr>
      </w:pPr>
      <w:r>
        <w:rPr>
          <w:rFonts w:ascii="宋体" w:hAnsi="宋体" w:eastAsia="宋体"/>
          <w:b/>
          <w:color w:val="auto"/>
        </w:rPr>
        <w:t>附表2-3储存场所安全检查表</w:t>
      </w:r>
    </w:p>
    <w:tbl>
      <w:tblPr>
        <w:tblStyle w:val="46"/>
        <w:tblW w:w="939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1"/>
        <w:gridCol w:w="3330"/>
        <w:gridCol w:w="1964"/>
        <w:gridCol w:w="2659"/>
        <w:gridCol w:w="71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检查项目及内容</w:t>
            </w:r>
          </w:p>
        </w:tc>
        <w:tc>
          <w:tcPr>
            <w:tcW w:w="1964"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依据</w:t>
            </w:r>
          </w:p>
        </w:tc>
        <w:tc>
          <w:tcPr>
            <w:tcW w:w="2659"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实际情况</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8663" w:type="dxa"/>
            <w:gridSpan w:val="4"/>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仓储建筑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topLinePunct/>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w:t>
            </w:r>
          </w:p>
        </w:tc>
        <w:tc>
          <w:tcPr>
            <w:tcW w:w="3330" w:type="dxa"/>
            <w:vAlign w:val="center"/>
          </w:tcPr>
          <w:p>
            <w:pPr>
              <w:keepNext w:val="0"/>
              <w:keepLines w:val="0"/>
              <w:suppressLineNumbers w:val="0"/>
              <w:tabs>
                <w:tab w:val="left" w:pos="900"/>
              </w:tabs>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库房耐火等级、层数、占地面积应符合国家标准和规定的要求。</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rPr>
              <w:t>第3.2节、第3.3节</w:t>
            </w:r>
          </w:p>
        </w:tc>
        <w:tc>
          <w:tcPr>
            <w:tcW w:w="2659" w:type="dxa"/>
            <w:vAlign w:val="center"/>
          </w:tcPr>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的耐火等级、层数、最大允许建筑面积以及防火分区的设置满足规范要求。</w:t>
            </w:r>
          </w:p>
        </w:tc>
        <w:tc>
          <w:tcPr>
            <w:tcW w:w="710" w:type="dxa"/>
            <w:vAlign w:val="center"/>
          </w:tcPr>
          <w:p>
            <w:pPr>
              <w:keepNext w:val="0"/>
              <w:keepLines w:val="0"/>
              <w:suppressLineNumbers w:val="0"/>
              <w:topLinePunct/>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甲、乙类物品库房是否设在建筑物的地下室、半地下室。</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第3.3.4条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w:t>
            </w: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未设在地下或半地下室。</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1.3</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每个仓库的安全出口不应少于两个，当占地面积小于等于300m</w:t>
            </w:r>
            <w:r>
              <w:rPr>
                <w:rFonts w:hint="eastAsia" w:ascii="宋体" w:hAnsi="宋体" w:eastAsia="宋体" w:cs="宋体"/>
                <w:color w:val="auto"/>
                <w:kern w:val="2"/>
                <w:sz w:val="21"/>
                <w:szCs w:val="21"/>
                <w:vertAlign w:val="superscript"/>
              </w:rPr>
              <w:t>2</w:t>
            </w:r>
            <w:r>
              <w:rPr>
                <w:rFonts w:hint="eastAsia" w:ascii="宋体" w:hAnsi="宋体" w:eastAsia="宋体" w:cs="宋体"/>
                <w:color w:val="auto"/>
                <w:kern w:val="2"/>
                <w:sz w:val="21"/>
                <w:szCs w:val="21"/>
              </w:rPr>
              <w:t>时，可设一个安全出口。仓库每个防火分区通向走道、楼梯或者室外的出口不宜少于两个，当防火分区的面积小于或等于100m</w:t>
            </w:r>
            <w:r>
              <w:rPr>
                <w:rFonts w:hint="eastAsia" w:ascii="宋体" w:hAnsi="宋体" w:eastAsia="宋体" w:cs="宋体"/>
                <w:color w:val="auto"/>
                <w:kern w:val="2"/>
                <w:sz w:val="21"/>
                <w:szCs w:val="21"/>
                <w:vertAlign w:val="superscript"/>
              </w:rPr>
              <w:t>2</w:t>
            </w:r>
            <w:r>
              <w:rPr>
                <w:rFonts w:hint="eastAsia" w:ascii="宋体" w:hAnsi="宋体" w:eastAsia="宋体" w:cs="宋体"/>
                <w:color w:val="auto"/>
                <w:kern w:val="2"/>
                <w:sz w:val="21"/>
                <w:szCs w:val="21"/>
              </w:rPr>
              <w:t>时，可设置一个。</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第3.8.2条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每个防火分区均设有2个安全出口。</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1.4</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防火间距要满足安全要求，符合规定。</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第3.5节</w:t>
            </w:r>
          </w:p>
        </w:tc>
        <w:tc>
          <w:tcPr>
            <w:tcW w:w="2659" w:type="dxa"/>
            <w:vAlign w:val="center"/>
          </w:tcPr>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与周边建筑的防火间距满足要求，详见本报告附件2.1.4节“主要建构物防火间距检查表”。</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仓库的门应为向疏散方向开启的平开门。</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第6.4.11</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该企业</w:t>
            </w: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的均为向外开门。</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1.6</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仓库内严禁设置员工宿舍。</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甲、乙类仓库内严禁设置办公室、休息室等，并不应贴邻建造。</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第3.3.9条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内未设置员工宿舍，也未设置办公室、休息室等。</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1.7</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甲、乙、丙类液体仓库应设置防止液体流散的设施。</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第3.6.11条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库房一(仓库A)设置有防止液体流散的漫坡。</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8663" w:type="dxa"/>
            <w:gridSpan w:val="4"/>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储存管理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甲、乙类物品库房内不准设办公室、休息室。其他库房必需设办公室时，可以贴邻</w:t>
            </w:r>
            <w:r>
              <w:rPr>
                <w:rFonts w:hint="eastAsia" w:ascii="宋体" w:hAnsi="宋体" w:eastAsia="宋体" w:cs="宋体"/>
                <w:color w:val="auto"/>
                <w:kern w:val="2"/>
                <w:sz w:val="21"/>
                <w:szCs w:val="21"/>
                <w:lang w:eastAsia="zh-CN"/>
              </w:rPr>
              <w:t>甲类仓库</w:t>
            </w:r>
            <w:r>
              <w:rPr>
                <w:rFonts w:hint="eastAsia" w:ascii="宋体" w:hAnsi="宋体" w:eastAsia="宋体" w:cs="宋体"/>
                <w:color w:val="auto"/>
                <w:kern w:val="2"/>
                <w:sz w:val="21"/>
                <w:szCs w:val="21"/>
              </w:rPr>
              <w:t>角设置无孔洞的一、二级耐火等级的建筑，其门窗直通库外，具体实施应当征得当地公安消防监督机构的同意。</w:t>
            </w:r>
          </w:p>
        </w:tc>
        <w:tc>
          <w:tcPr>
            <w:tcW w:w="196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》第二十五条</w:t>
            </w:r>
          </w:p>
        </w:tc>
        <w:tc>
          <w:tcPr>
            <w:tcW w:w="265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内没有设置办公室或者休息室。</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2.2</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装卸甲、乙类物品时，操作人员不得穿戴易产生静电的工作服、帽和使用易产生火花的工具，严防震动、撞击、重压、摩擦和倒置。对易产生静电的装卸设备要采取消除静电的措施。</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》第三十三条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装卸作业时，对易产生静电的装卸设备采取有消除静电的措施，符合要求。</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w:t>
            </w:r>
          </w:p>
        </w:tc>
        <w:tc>
          <w:tcPr>
            <w:tcW w:w="8663" w:type="dxa"/>
            <w:gridSpan w:val="4"/>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电器、火源、消防设施配备及管理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库房内敷设的配电线路，需穿金属管或用非燃硬塑料管保护。</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》第四十条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仓库内电气线路均穿金属管保护。</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3.2</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仓库的电器设备，必须由持合格证的电工进行安装，检查和维修保养。电工应当严格遵守各项电器操作规程。</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》第四十五条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该公司未配备电工，若需要安装、维护电气设备时，将聘请外面持特种作业证的电工进行作业</w:t>
            </w:r>
            <w:r>
              <w:rPr>
                <w:rFonts w:hint="eastAsia" w:ascii="宋体" w:hAnsi="宋体" w:eastAsia="宋体" w:cs="宋体"/>
                <w:color w:val="auto"/>
                <w:kern w:val="2"/>
                <w:sz w:val="21"/>
                <w:szCs w:val="21"/>
              </w:rPr>
              <w:t>。</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3.3</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仓库应当设置醒目的防火标志。进入甲、乙类物品库区的人员，必须登记，并交出携带的火种。</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》第四十六条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设置了醒目的防火标志，进出仓库的人员，规定不得携带火种。</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3.4</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仓库应当按照国家有关消防技术规范，设置、配备消防设施和器材。</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》第五十一条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已配备适当的消防设施和器材。</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3.5</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消防器材应当设置在明显和便于取用的地点，周围不准堆放物品和杂物。</w:t>
            </w:r>
          </w:p>
        </w:tc>
        <w:tc>
          <w:tcPr>
            <w:tcW w:w="196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》第五十二条</w:t>
            </w:r>
          </w:p>
        </w:tc>
        <w:tc>
          <w:tcPr>
            <w:tcW w:w="265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消防器材设置在库房门口，周围没有堆放物品和杂物。</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3.6</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仓库的消防设施、器材，应当由专人管理，负责检查、维修、保养、更换和添置，保证完好有效，严禁圈占、埋压和挪用。</w:t>
            </w:r>
          </w:p>
        </w:tc>
        <w:tc>
          <w:tcPr>
            <w:tcW w:w="1964"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bCs/>
                <w:color w:val="auto"/>
                <w:kern w:val="2"/>
                <w:sz w:val="21"/>
                <w:szCs w:val="21"/>
              </w:rPr>
              <w:t>仓库防火安全管理规则</w:t>
            </w:r>
            <w:r>
              <w:rPr>
                <w:rFonts w:hint="eastAsia" w:ascii="宋体" w:hAnsi="宋体" w:eastAsia="宋体" w:cs="宋体"/>
                <w:color w:val="auto"/>
                <w:kern w:val="2"/>
                <w:sz w:val="21"/>
                <w:szCs w:val="21"/>
              </w:rPr>
              <w:t>》第五十三条</w:t>
            </w:r>
          </w:p>
        </w:tc>
        <w:tc>
          <w:tcPr>
            <w:tcW w:w="265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有专人负责定期检查、维护。</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3.7</w:t>
            </w:r>
          </w:p>
        </w:tc>
        <w:tc>
          <w:tcPr>
            <w:tcW w:w="3330"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爆炸危险环境电力装置的设计应按现行国家标准《爆炸危险环境电力装置设计规范》(GB50058)相关规定。</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)第11.2.6条</w:t>
            </w:r>
          </w:p>
        </w:tc>
        <w:tc>
          <w:tcPr>
            <w:tcW w:w="2659" w:type="dxa"/>
            <w:vAlign w:val="center"/>
          </w:tcPr>
          <w:p>
            <w:pPr>
              <w:keepNext w:val="0"/>
              <w:keepLines w:val="0"/>
              <w:suppressLineNumbers w:val="0"/>
              <w:tabs>
                <w:tab w:val="left" w:pos="900"/>
              </w:tabs>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仓库内电气设施满足防爆要求。</w:t>
            </w:r>
          </w:p>
        </w:tc>
        <w:tc>
          <w:tcPr>
            <w:tcW w:w="710"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3.8</w:t>
            </w:r>
          </w:p>
        </w:tc>
        <w:tc>
          <w:tcPr>
            <w:tcW w:w="3330"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各种商品应码行列式货垛，做到牢固、整齐、美观，出入库方便，一般垛高不超过3m。堆垛间距：</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bCs/>
                <w:color w:val="auto"/>
                <w:kern w:val="2"/>
                <w:sz w:val="21"/>
                <w:szCs w:val="21"/>
              </w:rPr>
              <w:t>a)</w:t>
            </w:r>
            <w:r>
              <w:rPr>
                <w:rFonts w:hint="eastAsia" w:ascii="宋体" w:hAnsi="宋体" w:eastAsia="宋体" w:cs="宋体"/>
                <w:color w:val="auto"/>
                <w:kern w:val="2"/>
                <w:sz w:val="21"/>
                <w:szCs w:val="21"/>
              </w:rPr>
              <w:t>主通道大于等于180cm；</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bCs/>
                <w:color w:val="auto"/>
                <w:kern w:val="2"/>
                <w:sz w:val="21"/>
                <w:szCs w:val="21"/>
              </w:rPr>
              <w:t>b)</w:t>
            </w:r>
            <w:r>
              <w:rPr>
                <w:rFonts w:hint="eastAsia" w:ascii="宋体" w:hAnsi="宋体" w:eastAsia="宋体" w:cs="宋体"/>
                <w:color w:val="auto"/>
                <w:kern w:val="2"/>
                <w:sz w:val="21"/>
                <w:szCs w:val="21"/>
              </w:rPr>
              <w:t>支通道大于等于80cm；</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bCs/>
                <w:color w:val="auto"/>
                <w:kern w:val="2"/>
                <w:sz w:val="21"/>
                <w:szCs w:val="21"/>
              </w:rPr>
              <w:t>c)</w:t>
            </w:r>
            <w:r>
              <w:rPr>
                <w:rFonts w:hint="eastAsia" w:ascii="宋体" w:hAnsi="宋体" w:eastAsia="宋体" w:cs="宋体"/>
                <w:color w:val="auto"/>
                <w:kern w:val="2"/>
                <w:sz w:val="21"/>
                <w:szCs w:val="21"/>
              </w:rPr>
              <w:t>墙距大于等于30cm；</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bCs/>
                <w:color w:val="auto"/>
                <w:kern w:val="2"/>
                <w:sz w:val="21"/>
                <w:szCs w:val="21"/>
              </w:rPr>
              <w:t>d)</w:t>
            </w:r>
            <w:r>
              <w:rPr>
                <w:rFonts w:hint="eastAsia" w:ascii="宋体" w:hAnsi="宋体" w:eastAsia="宋体" w:cs="宋体"/>
                <w:color w:val="auto"/>
                <w:kern w:val="2"/>
                <w:sz w:val="21"/>
                <w:szCs w:val="21"/>
              </w:rPr>
              <w:t>柱距大于等于10cm；</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bCs/>
                <w:color w:val="auto"/>
                <w:kern w:val="2"/>
                <w:sz w:val="21"/>
                <w:szCs w:val="21"/>
              </w:rPr>
              <w:t>e)</w:t>
            </w:r>
            <w:r>
              <w:rPr>
                <w:rFonts w:hint="eastAsia" w:ascii="宋体" w:hAnsi="宋体" w:eastAsia="宋体" w:cs="宋体"/>
                <w:color w:val="auto"/>
                <w:kern w:val="2"/>
                <w:sz w:val="21"/>
                <w:szCs w:val="21"/>
              </w:rPr>
              <w:t>垛距大于等于10cm；</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bCs/>
                <w:color w:val="auto"/>
                <w:kern w:val="2"/>
                <w:sz w:val="21"/>
                <w:szCs w:val="21"/>
              </w:rPr>
              <w:t>f)</w:t>
            </w:r>
            <w:r>
              <w:rPr>
                <w:rFonts w:hint="eastAsia" w:ascii="宋体" w:hAnsi="宋体" w:eastAsia="宋体" w:cs="宋体"/>
                <w:color w:val="auto"/>
                <w:kern w:val="2"/>
                <w:sz w:val="21"/>
                <w:szCs w:val="21"/>
              </w:rPr>
              <w:t>顶距大于等于50cm</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《易燃易爆性商品储存养护技术条件》第6.2条</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《易燃易爆性商品储存养护技术条件》第6.1.3条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内物料摆放符合要求要求。</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3.9</w:t>
            </w:r>
          </w:p>
        </w:tc>
        <w:tc>
          <w:tcPr>
            <w:tcW w:w="3330" w:type="dxa"/>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库房内设温湿度表(重点库可设自记温湿度计)，按规定时间观测和记录。</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《易燃易爆性商品储存养护技术条件》第7.1.1条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设置了温湿度计，并按规定时间观察和记录。</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3.10</w:t>
            </w:r>
          </w:p>
        </w:tc>
        <w:tc>
          <w:tcPr>
            <w:tcW w:w="3330" w:type="dxa"/>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库房内不应分、改装，开箱、开桶、验收和质量检查等需在库房外进行。</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《易燃易爆性商品储存养护技术条件》第8.5条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内没有开桶、分装现象。</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3.11</w:t>
            </w:r>
          </w:p>
        </w:tc>
        <w:tc>
          <w:tcPr>
            <w:tcW w:w="3330" w:type="dxa"/>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甲类仓库内应使用应使用不产生火花的铜制、合金制或其他工具。</w:t>
            </w:r>
          </w:p>
        </w:tc>
        <w:tc>
          <w:tcPr>
            <w:tcW w:w="1964" w:type="dxa"/>
            <w:vAlign w:val="center"/>
          </w:tcPr>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《易燃易爆性商品储存养护技术条件》GB17914-2013第8.4条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使用不易产生火花的铜合金制工具。</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3.12</w:t>
            </w:r>
          </w:p>
        </w:tc>
        <w:tc>
          <w:tcPr>
            <w:tcW w:w="3330" w:type="dxa"/>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各种商品不允许直接落地存放。根据库房地势高低，一般应垫15cm以上。遇湿易燃物品、易吸潮溶化和吸潮分解的商品应根据情况加大下垫高度。</w:t>
            </w:r>
          </w:p>
        </w:tc>
        <w:tc>
          <w:tcPr>
            <w:tcW w:w="1964"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《易燃易爆性商品储存养护技术条件》第6.1.2条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内存放物品均属铁桶包装。</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1" w:type="dxa"/>
            <w:vAlign w:val="center"/>
          </w:tcPr>
          <w:p>
            <w:pPr>
              <w:keepNext w:val="0"/>
              <w:keepLines w:val="0"/>
              <w:suppressLineNumbers w:val="0"/>
              <w:tabs>
                <w:tab w:val="left" w:pos="900"/>
              </w:tabs>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3.13</w:t>
            </w:r>
          </w:p>
        </w:tc>
        <w:tc>
          <w:tcPr>
            <w:tcW w:w="3330" w:type="dxa"/>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库房内不准设置移动式照明灯具。照明灯具下方不准堆放物品，其垂直下方与储存物品水平间距不得小于零点五米。</w:t>
            </w:r>
          </w:p>
        </w:tc>
        <w:tc>
          <w:tcPr>
            <w:tcW w:w="1964" w:type="dxa"/>
            <w:vAlign w:val="center"/>
          </w:tcPr>
          <w:p>
            <w:pPr>
              <w:keepNext w:val="0"/>
              <w:keepLines w:val="0"/>
              <w:suppressLineNumbers w:val="0"/>
              <w:topLinePunct/>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《仓库防火安全管理规则》(公安部令第6号)第三十九条</w:t>
            </w:r>
          </w:p>
        </w:tc>
        <w:tc>
          <w:tcPr>
            <w:tcW w:w="2659"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照明灯具下方未堆放物品。</w:t>
            </w:r>
          </w:p>
        </w:tc>
        <w:tc>
          <w:tcPr>
            <w:tcW w:w="710"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bl>
    <w:p>
      <w:pPr>
        <w:spacing w:line="560" w:lineRule="exact"/>
        <w:ind w:firstLine="425" w:firstLineChars="152"/>
        <w:jc w:val="both"/>
        <w:rPr>
          <w:rFonts w:hint="eastAsia" w:ascii="宋体" w:hAnsi="宋体" w:eastAsia="宋体"/>
          <w:color w:val="auto"/>
          <w:sz w:val="28"/>
          <w:szCs w:val="28"/>
          <w:lang w:val="en-US" w:eastAsia="zh-CN"/>
        </w:rPr>
      </w:pPr>
      <w:r>
        <w:rPr>
          <w:rFonts w:hint="eastAsia" w:ascii="宋体" w:hAnsi="宋体" w:eastAsia="宋体"/>
          <w:color w:val="auto"/>
          <w:sz w:val="28"/>
          <w:szCs w:val="28"/>
        </w:rPr>
        <w:t>通过对该企业危险化学品仓库检查可知，</w:t>
      </w:r>
      <w:r>
        <w:rPr>
          <w:rFonts w:hint="eastAsia" w:ascii="宋体" w:hAnsi="宋体" w:eastAsia="宋体"/>
          <w:color w:val="auto"/>
          <w:sz w:val="28"/>
          <w:szCs w:val="28"/>
          <w:lang w:val="en-US" w:eastAsia="zh-CN"/>
        </w:rPr>
        <w:t>均符合要求。</w:t>
      </w:r>
    </w:p>
    <w:p>
      <w:pPr>
        <w:spacing w:line="560" w:lineRule="exact"/>
        <w:ind w:firstLine="425" w:firstLineChars="152"/>
        <w:jc w:val="both"/>
        <w:rPr>
          <w:rFonts w:hint="eastAsia" w:ascii="宋体" w:hAnsi="宋体" w:eastAsia="宋体"/>
          <w:color w:val="auto"/>
          <w:sz w:val="28"/>
          <w:szCs w:val="28"/>
          <w:lang w:val="en-US" w:eastAsia="zh-CN"/>
        </w:rPr>
      </w:pPr>
      <w:bookmarkStart w:id="182" w:name="bookmark139"/>
      <w:r>
        <w:rPr>
          <w:rFonts w:ascii="宋体" w:hAnsi="宋体" w:eastAsia="宋体" w:cs="Times New Roman"/>
          <w:bCs/>
          <w:color w:val="auto"/>
          <w:kern w:val="2"/>
          <w:sz w:val="28"/>
          <w:szCs w:val="28"/>
          <w:lang w:val="en-US" w:eastAsia="zh-CN" w:bidi="ar-SA"/>
        </w:rPr>
        <w:t>2.1.4主要建</w:t>
      </w:r>
      <w:r>
        <w:rPr>
          <w:rFonts w:hint="eastAsia" w:ascii="宋体" w:hAnsi="宋体" w:eastAsia="宋体"/>
          <w:color w:val="auto"/>
          <w:sz w:val="28"/>
          <w:szCs w:val="28"/>
          <w:lang w:val="en-US" w:eastAsia="zh-CN"/>
        </w:rPr>
        <w:t>构物防火间距检查表</w:t>
      </w:r>
      <w:bookmarkEnd w:id="182"/>
    </w:p>
    <w:p>
      <w:pPr>
        <w:spacing w:line="560" w:lineRule="exact"/>
        <w:ind w:firstLine="1540" w:firstLineChars="550"/>
        <w:jc w:val="both"/>
        <w:rPr>
          <w:rFonts w:ascii="宋体" w:hAnsi="宋体" w:eastAsia="PMingLiU"/>
          <w:b/>
          <w:color w:val="auto"/>
        </w:rPr>
      </w:pPr>
      <w:r>
        <w:rPr>
          <w:rFonts w:hint="eastAsia" w:ascii="宋体" w:hAnsi="宋体" w:eastAsia="宋体"/>
          <w:color w:val="auto"/>
          <w:sz w:val="28"/>
          <w:szCs w:val="28"/>
          <w:lang w:eastAsia="zh-CN"/>
        </w:rPr>
        <w:t>附</w:t>
      </w:r>
      <w:r>
        <w:rPr>
          <w:rFonts w:hint="eastAsia" w:ascii="宋体" w:hAnsi="宋体" w:eastAsia="宋体"/>
          <w:color w:val="auto"/>
          <w:sz w:val="28"/>
          <w:szCs w:val="28"/>
        </w:rPr>
        <w:t>表2-4厂内</w:t>
      </w:r>
      <w:r>
        <w:rPr>
          <w:rFonts w:ascii="宋体" w:hAnsi="宋体" w:eastAsia="宋体"/>
          <w:b/>
          <w:color w:val="auto"/>
        </w:rPr>
        <w:t>各建(构)筑物间距一览表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722"/>
        <w:gridCol w:w="1411"/>
        <w:gridCol w:w="1134"/>
        <w:gridCol w:w="992"/>
        <w:gridCol w:w="851"/>
        <w:gridCol w:w="709"/>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bookmarkStart w:id="183" w:name="bookmark140"/>
            <w:r>
              <w:rPr>
                <w:rFonts w:hint="eastAsia" w:ascii="宋体" w:hAnsi="宋体" w:eastAsia="宋体" w:cs="宋体"/>
                <w:b/>
                <w:bCs/>
                <w:color w:val="auto"/>
                <w:kern w:val="2"/>
                <w:sz w:val="21"/>
                <w:szCs w:val="21"/>
              </w:rPr>
              <w:t>建筑物名称</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火灾类别</w:t>
            </w:r>
          </w:p>
        </w:tc>
        <w:tc>
          <w:tcPr>
            <w:tcW w:w="1411"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相邻建筑物名称</w:t>
            </w:r>
          </w:p>
        </w:tc>
        <w:tc>
          <w:tcPr>
            <w:tcW w:w="1134"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火灾类别</w:t>
            </w:r>
          </w:p>
        </w:tc>
        <w:tc>
          <w:tcPr>
            <w:tcW w:w="1843" w:type="dxa"/>
            <w:gridSpan w:val="2"/>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防火间距(m)</w:t>
            </w:r>
          </w:p>
        </w:tc>
        <w:tc>
          <w:tcPr>
            <w:tcW w:w="70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是否达标</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标准名称及条文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1411"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1134"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实际</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标准</w:t>
            </w:r>
          </w:p>
        </w:tc>
        <w:tc>
          <w:tcPr>
            <w:tcW w:w="70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库房一(仓库A)</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w:t>
            </w: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甲</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《建设设计防火规范》GB50016-2014第3.5.1条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51</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配电房</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丙类厂房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51</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厂房三(厂房B)</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丙</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19</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宿舍</w:t>
            </w:r>
          </w:p>
        </w:tc>
        <w:tc>
          <w:tcPr>
            <w:tcW w:w="1134"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59</w:t>
            </w:r>
          </w:p>
        </w:tc>
        <w:tc>
          <w:tcPr>
            <w:tcW w:w="851"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bidi="zh-TW"/>
              </w:rPr>
              <w:t>30</w:t>
            </w:r>
          </w:p>
        </w:tc>
        <w:tc>
          <w:tcPr>
            <w:tcW w:w="709" w:type="dxa"/>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厂房四（厂房C）</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甲</w:t>
            </w: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厂房三(厂房B)</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rPr>
              <w:t>丙</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12</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12</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lang w:eastAsia="zh-CN"/>
              </w:rPr>
              <w:t>符合</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《建设设计防火规范》GB50016-2014第3.4.1条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宿舍</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26</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CN" w:bidi="zh-TW"/>
              </w:rPr>
            </w:pPr>
            <w:r>
              <w:rPr>
                <w:rFonts w:hint="eastAsia" w:ascii="宋体" w:hAnsi="宋体" w:eastAsia="宋体" w:cs="宋体"/>
                <w:color w:val="auto"/>
                <w:kern w:val="2"/>
                <w:sz w:val="21"/>
                <w:szCs w:val="21"/>
                <w:lang w:eastAsia="zh-CN"/>
              </w:rPr>
              <w:t>实验室</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zh-TW"/>
              </w:rPr>
            </w:pPr>
            <w:r>
              <w:rPr>
                <w:rFonts w:hint="eastAsia" w:ascii="宋体" w:hAnsi="宋体" w:eastAsia="宋体" w:cs="宋体"/>
                <w:color w:val="auto"/>
                <w:kern w:val="2"/>
                <w:sz w:val="21"/>
                <w:szCs w:val="21"/>
                <w:lang w:val="en-US" w:eastAsia="zh-CN"/>
              </w:rPr>
              <w:t>51</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rPr>
              <w:t>25</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zh-TW" w:eastAsia="zh-TW" w:bidi="zh-TW"/>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厂房三(厂房B)</w:t>
            </w:r>
          </w:p>
        </w:tc>
        <w:tc>
          <w:tcPr>
            <w:tcW w:w="722"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丙</w:t>
            </w: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配电房</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丙</w:t>
            </w:r>
            <w:r>
              <w:rPr>
                <w:rFonts w:hint="eastAsia" w:ascii="宋体" w:hAnsi="宋体" w:eastAsia="宋体" w:cs="宋体"/>
                <w:color w:val="auto"/>
                <w:kern w:val="2"/>
                <w:sz w:val="21"/>
                <w:szCs w:val="21"/>
                <w:lang w:eastAsia="zh-CN"/>
              </w:rPr>
              <w:t>类厂房</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《建设设计防火规范》GB50016-2014第3.4.1条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实验室</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16</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22"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41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宿舍</w:t>
            </w:r>
          </w:p>
        </w:tc>
        <w:tc>
          <w:tcPr>
            <w:tcW w:w="1134"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民用建筑</w:t>
            </w:r>
          </w:p>
        </w:tc>
        <w:tc>
          <w:tcPr>
            <w:tcW w:w="992"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18</w:t>
            </w:r>
          </w:p>
        </w:tc>
        <w:tc>
          <w:tcPr>
            <w:tcW w:w="851"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709"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符合</w:t>
            </w:r>
          </w:p>
        </w:tc>
        <w:tc>
          <w:tcPr>
            <w:tcW w:w="2629"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r>
    </w:tbl>
    <w:p>
      <w:pPr>
        <w:spacing w:line="560" w:lineRule="exact"/>
        <w:jc w:val="both"/>
        <w:outlineLvl w:val="2"/>
        <w:rPr>
          <w:rFonts w:ascii="宋体" w:hAnsi="宋体" w:eastAsia="宋体" w:cs="Times New Roman"/>
          <w:bCs/>
          <w:color w:val="auto"/>
          <w:kern w:val="2"/>
          <w:sz w:val="28"/>
          <w:szCs w:val="28"/>
          <w:lang w:val="en-US" w:bidi="ar-SA"/>
        </w:rPr>
      </w:pP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2.1.5安全生产许可条件</w:t>
      </w:r>
      <w:bookmarkEnd w:id="183"/>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危险化学品生产企业安全生产许可证实施办法》(安监总局令第41号，安监总局令第79号修改)、《关于认真贯彻危险化学品生产企业安全生产许可证实施办法的通知》(粤安监管三(2011)44号)，对企业安全生产许可条件进行逐项检查，检查结果见附表2-5。</w:t>
      </w:r>
    </w:p>
    <w:p>
      <w:pPr>
        <w:spacing w:line="560" w:lineRule="exact"/>
        <w:jc w:val="center"/>
        <w:rPr>
          <w:rFonts w:ascii="宋体" w:hAnsi="宋体" w:eastAsia="PMingLiU"/>
          <w:b/>
          <w:color w:val="auto"/>
        </w:rPr>
      </w:pPr>
      <w:r>
        <w:rPr>
          <w:rFonts w:ascii="宋体" w:hAnsi="宋体" w:eastAsia="宋体"/>
          <w:b/>
          <w:color w:val="auto"/>
        </w:rPr>
        <w:t>附表2-5安全生产许可条件检查表</w:t>
      </w:r>
    </w:p>
    <w:tbl>
      <w:tblPr>
        <w:tblStyle w:val="46"/>
        <w:tblW w:w="939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2"/>
        <w:gridCol w:w="3677"/>
        <w:gridCol w:w="2215"/>
        <w:gridCol w:w="2037"/>
        <w:gridCol w:w="73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3677"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检查项目及内容</w:t>
            </w:r>
          </w:p>
        </w:tc>
        <w:tc>
          <w:tcPr>
            <w:tcW w:w="2215"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依据</w:t>
            </w:r>
          </w:p>
        </w:tc>
        <w:tc>
          <w:tcPr>
            <w:tcW w:w="2037"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实际情况</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企业选址布局、规划设计以及与重要场所、设施、区域的距离应当符合下列要求：</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(一)国家产业政策；当地县级以上(含县级)人民政府的规划和布局；新设立企业建在地方人民政府规划的专门用于危险化学品生产、储存的区域内；</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危险化学品生产装置或者储存危险化学品数量构成重大危险源的储存设施，与《危险化学品安全管理条例》第十九条第一款规定的八类场所、设施、区域的距离符合有关法律、法规、规章和国家标准或者行业标准的规定；</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(三)总体布局符合《化工企业总图运输设计规范》(GB50489)、《工业企业总平面设计规范》(GB50187)、《建筑设计防火规范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等标准的要求。</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《危险化学品生产企业安全生产许可证实施办法》(国家安全生产监督管理局令第41号，国家安全生产监督管理总局令第79号修改)第八条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有广东省建设项目选址意见书。该企业危险化学品不构成重大危险源；该企业总体布局符合《工业企业总平面设计规范》(GB50187)、《建筑设计防火规范</w:t>
            </w:r>
            <w:r>
              <w:rPr>
                <w:rFonts w:hint="eastAsia" w:ascii="宋体" w:hAnsi="宋体" w:eastAsia="宋体" w:cs="宋体"/>
                <w:color w:val="auto"/>
                <w:kern w:val="2"/>
                <w:sz w:val="21"/>
                <w:szCs w:val="21"/>
                <w:lang w:eastAsia="zh-CN"/>
              </w:rPr>
              <w:t>（2018年版）</w:t>
            </w:r>
            <w:r>
              <w:rPr>
                <w:rFonts w:hint="eastAsia" w:ascii="宋体" w:hAnsi="宋体" w:eastAsia="宋体" w:cs="宋体"/>
                <w:color w:val="auto"/>
                <w:kern w:val="2"/>
                <w:sz w:val="21"/>
                <w:szCs w:val="21"/>
              </w:rPr>
              <w:t>》GB50016-2014</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等标准的要求。</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新建、改建、扩建建设项目经具备国家规定资质的单位设计、制造和施工建设；涉及危险化工工艺、重点监管危险化学品的装置，由具有综合甲级资质或者化工石化专业甲级设计资质的化工石化设计单位设计。</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《危险化学品生产企业安全生产许可证实施办法》(国家安全生产监督管理局令第41号，国家安全生产监督管理总局令第79号修改)第九条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非新建、改建、扩建建设项目。</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不得采用国家明令淘汰、禁止使用和危及安全生产的工艺、设备；新开发的危险化学品生产工艺必须在小试、中试、工业化试验的基础上逐步放大到工业化生产；国内首次使用的化工工艺，必须经过省级人民政府有关部门组织的安全可靠性论证</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《危险化学品生产企业安全生产许可证实施办法》(国家安全生产监督管理局令第41号，国家安全生产监督管理总局令第79号修改)第九条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非国家明令淘汰、禁止使用和危及安全生产的工艺、设备，也不是新开发的危险化学品。</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涉及危险化工工艺、重点监管危险化学品的装置装设自动化控制系统；涉及危险化工工艺的大型化工装置装设紧急停车系统；涉及易燃易爆、有毒有害气体化学品的场所装设易燃易爆、有毒有害介质泄漏报警等安全设施；</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《危险化学品生产企业安全生产许可证实施办法》(国家安全生产监督管理局令第41号，国家安全生产监督管理总局令第79号修改)第九条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不涉及危险工艺，</w:t>
            </w:r>
            <w:r>
              <w:rPr>
                <w:rFonts w:hint="eastAsia" w:ascii="宋体" w:hAnsi="宋体" w:eastAsia="宋体" w:cs="宋体"/>
                <w:color w:val="auto"/>
                <w:kern w:val="2"/>
                <w:sz w:val="21"/>
                <w:szCs w:val="21"/>
                <w:lang w:eastAsia="zh-CN"/>
              </w:rPr>
              <w:t>厂房四（厂房C）</w:t>
            </w:r>
            <w:r>
              <w:rPr>
                <w:rFonts w:hint="eastAsia" w:ascii="宋体" w:hAnsi="宋体" w:eastAsia="宋体" w:cs="宋体"/>
                <w:color w:val="auto"/>
                <w:kern w:val="2"/>
                <w:sz w:val="21"/>
                <w:szCs w:val="21"/>
              </w:rPr>
              <w:t>、</w:t>
            </w: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均设置有可燃气体检测报警装置</w:t>
            </w:r>
            <w:r>
              <w:rPr>
                <w:rFonts w:hint="eastAsia" w:ascii="宋体" w:hAnsi="宋体" w:eastAsia="宋体" w:cs="宋体"/>
                <w:color w:val="auto"/>
                <w:kern w:val="2"/>
                <w:sz w:val="21"/>
                <w:szCs w:val="21"/>
                <w:lang w:eastAsia="zh-CN"/>
              </w:rPr>
              <w:t>，但库房一(仓库A)可燃气体探测器不足</w:t>
            </w:r>
            <w:r>
              <w:rPr>
                <w:rFonts w:hint="eastAsia" w:ascii="宋体" w:hAnsi="宋体" w:eastAsia="宋体" w:cs="宋体"/>
                <w:color w:val="auto"/>
                <w:kern w:val="2"/>
                <w:sz w:val="21"/>
                <w:szCs w:val="21"/>
              </w:rPr>
              <w:t>。</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不</w:t>
            </w: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生产区与非生产区分开设置，并符合国家标准或者行业标准规定的距离。</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《危险化学品生产企业安全生产许可证实施办法》第九条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生产区和非生产区分开布置，生产区与非生产区的安全间距符合规范要求。</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危险化学品生产装置和储存设施之间及其与建(构)筑物之间的距离符合有关标准规范的规定。</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《危险化学品生产企业安全生产许可证实施办法》第九条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危险化学品生产装置和储存设施之间及其与建(构)筑物之间的距离符合规范的规定，详见本报告附件2.1.4节“主要建构物防火间距检查表”。</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企业应当有相应的职业危害防护设施，并为从业人员配备符合国家标准或者行业标准的劳动防护用品。</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企业为作业人员配备有劳动防护用品。</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企业应当依据《危险化学品重大危险源辨识》(GB18218)，对本企业的生产、储存和使用装置、设施或者场所进行重大危险源辨识。</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《危险化学品生产企业安全生产许可证实施办法》第十一条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经辨识，该企业危险化学品、设备设施均不构成重大危险源。</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企业应当依法设置安全生产管理机构，配备专职安全生产管理人员。配备的专职安全生产管理人员必须能够满足安全生产的需要。</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《危险化学品生产企业安全生产许可证实施办法》第十二条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设置有安全管理机构，配备有专职安全管理人员，配备的安全管理人员能够满足生产需要。</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企业应当根据化工工艺、装置、设施等实际情况，制定完善主要安全生产规章制度(19个制度)。</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《危险化学品生产企业安全生产许可证实施办法》第十四条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制定有较为完善的安全管理制度。</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企业应当根据危险化学品的生产工艺、技术、设备特点和原辅料、产品的危险性编制岗位操作安全规程。</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《危险化学品生产企业安全生产许可证实施办法》第十五条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企业制定有各种操作规程，涵盖所有岗位。</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企业应当根据危险化学品的生产工艺、技术、设备特点和原辅料、产品的危险性编制岗位操作安全规程。</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《危险化学品生产企业安全生产许可证实施办法》第十五条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企业制定有各种操作规程，涵盖所有岗位。</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13</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企业主要负责人、分管安全负责人和安全生产管理人员必须具备与其从事的生产经营活动相适应的安全生产知识和管理能力，依法参加安全生产培训，并经考核合格，取得安全资格证书。</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分管安全负责人、分管生产负责人、分管技术负责人应当具有一定的化工专业知识或者相应的专业学历，专职安全生产管理人员应当具备国民教育化工化学类(或安全工程)中等职业教育以上学历或者化工化学类中级以上专业技术职称，或者具备危险物品安全类注册安全工程师资格。</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特种作业人员应当依照《特种作业人员安全技术培训考核管理规定》，经专门的安全技术培训并考核合格，取得特种作业操作证书。</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《危险化学品生产企业安全生产许可证实施办法》第十六条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主要负责人和安全管理人员经</w:t>
            </w:r>
            <w:r>
              <w:rPr>
                <w:rFonts w:hint="eastAsia" w:ascii="宋体" w:hAnsi="宋体" w:eastAsia="宋体" w:cs="宋体"/>
                <w:color w:val="auto"/>
                <w:kern w:val="2"/>
                <w:sz w:val="21"/>
                <w:szCs w:val="21"/>
                <w:lang w:eastAsia="zh-CN"/>
              </w:rPr>
              <w:t>相关部门</w:t>
            </w:r>
            <w:r>
              <w:rPr>
                <w:rFonts w:hint="eastAsia" w:ascii="宋体" w:hAnsi="宋体" w:eastAsia="宋体" w:cs="宋体"/>
                <w:color w:val="auto"/>
                <w:kern w:val="2"/>
                <w:sz w:val="21"/>
                <w:szCs w:val="21"/>
              </w:rPr>
              <w:t>培训合格；专职安全生产管理人员具备注册安全工程师资格。</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14</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企业应当按照国家规定提取与安全生产有关的费用，并保证安全生产所必须的资金投入。</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《危险化学品生产企业安全生产许可证实施办法》第十七条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企业每年都会预提安全专项费用，专门用于安全投入，安全投入能够满足生产需要。</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15</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企业应当依法参加工伤保险，为从业人员缴纳保险费。</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《危险化学品生产企业安全生产许可证实施办法》第十八条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企业为从业人员缴纳工伤保险。</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16</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企业应当依法委托具备国家规定资质的安全评价机构进行安全评价，并按照安全评价报告的意见对存在的安全生产问题进行整改。</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《危险化学品生产企业安全生产许可证实施办法》第十九条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委托有资质的中介机构进行评价，对评价报告中所提出的问题，投入资金进行整改。</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17</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企业应当依法进行危险化学品登记，为用户提供化学品安全技术说明书，并在危险化学品包装(包括外包装件)上粘贴或者拴挂与包装内危险化学品相符的化学品安全标签。</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《危险化学品生产企业安全生产许可证实施办法》第二十条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企业按照规定进行了危险化学品登记，为用户提供化学品安全技术说明书，外包装上有与包装内危险化学品相符的化学品安全标签。</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18</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企业应当符合下列应急管理要求：</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(一)按照国家有关规定编制危险化学品事故应急预案并报有关部门备案；</w:t>
            </w:r>
          </w:p>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(二)建立应急救援组织或者明确应急救援人员，配备必要的应急救援器材、设备设施，并定期进行演练。</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《危险化学品生产企业安全生产许可证实施办法》第二十一条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企业按照有关标准编制了事故应急预案，并报市</w:t>
            </w:r>
            <w:r>
              <w:rPr>
                <w:rFonts w:hint="eastAsia" w:ascii="宋体" w:hAnsi="宋体" w:eastAsia="宋体" w:cs="宋体"/>
                <w:color w:val="auto"/>
                <w:kern w:val="2"/>
                <w:sz w:val="21"/>
                <w:szCs w:val="21"/>
                <w:lang w:eastAsia="zh-CN"/>
              </w:rPr>
              <w:t>应急局</w:t>
            </w:r>
            <w:r>
              <w:rPr>
                <w:rFonts w:hint="eastAsia" w:ascii="宋体" w:hAnsi="宋体" w:eastAsia="宋体" w:cs="宋体"/>
                <w:color w:val="auto"/>
                <w:kern w:val="2"/>
                <w:sz w:val="21"/>
                <w:szCs w:val="21"/>
              </w:rPr>
              <w:t>备案，取得了备案证明。</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19</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企业除符合本章规定的安全生产条件，还应当符合有关法律、行政法规和国家标准或者行业标准规定的其他安全生产条件。</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《危险化学品生产企业安全生产许可证实施办法》第二十二条</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w:t>
            </w:r>
            <w:r>
              <w:rPr>
                <w:rFonts w:hint="eastAsia" w:ascii="宋体" w:hAnsi="宋体" w:eastAsia="宋体" w:cs="宋体"/>
                <w:color w:val="auto"/>
                <w:kern w:val="2"/>
                <w:sz w:val="21"/>
                <w:szCs w:val="21"/>
                <w:lang w:eastAsia="zh-CN"/>
              </w:rPr>
              <w:t>能</w:t>
            </w:r>
            <w:r>
              <w:rPr>
                <w:rFonts w:hint="eastAsia" w:ascii="宋体" w:hAnsi="宋体" w:eastAsia="宋体" w:cs="宋体"/>
                <w:color w:val="auto"/>
                <w:kern w:val="2"/>
                <w:sz w:val="21"/>
                <w:szCs w:val="21"/>
              </w:rPr>
              <w:t>满足《实施办法》及其它法律法规规定的生产条件</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20</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生产、储存危险化学品的车间、仓库是否与员工宿舍在同一座建筑物内，且与员工宿舍是否保持符合规定的安全距离。</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《危险化学品生产企业安全生产许可证审查书》</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生产区与非生产区区分开，</w:t>
            </w:r>
            <w:r>
              <w:rPr>
                <w:rFonts w:hint="eastAsia" w:ascii="宋体" w:hAnsi="宋体" w:eastAsia="宋体" w:cs="宋体"/>
                <w:color w:val="auto"/>
                <w:kern w:val="2"/>
                <w:sz w:val="21"/>
                <w:szCs w:val="21"/>
                <w:lang w:eastAsia="zh-CN"/>
              </w:rPr>
              <w:t>库房一(仓库A)</w:t>
            </w:r>
            <w:r>
              <w:rPr>
                <w:rFonts w:hint="eastAsia" w:ascii="宋体" w:hAnsi="宋体" w:eastAsia="宋体" w:cs="宋体"/>
                <w:color w:val="auto"/>
                <w:kern w:val="2"/>
                <w:sz w:val="21"/>
                <w:szCs w:val="21"/>
              </w:rPr>
              <w:t>与临时办公区安全间距符合规范要求。</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21</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危险化学品生产装置和储存设施的周边防护距离是否符合有关法律、法规、规章和标准的规定。</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《危险化学品生产企业安全生产许可证审查书》</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危险化学品生产装置、储存设施和周边防护距离符合现行《建筑设计防火规范》相关标准。</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22</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进行消防设计的建筑工程是否经过公安消防机构验收合格。</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《危险化学品生产企业安全生产许可证审查书》</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有《建筑工程消防验收意见书》。</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23</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有无相应的职业危害防护设施和为从业人员配备符合有关国家标准或者行业标准规定的劳动防护用品。</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《危险化学品生产企业安全生产许可证审查书》</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为从业人员配备了符合要求的劳动防护用品，如工作服、防毒口罩、防毒面罩等。</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24</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对其可能发生的生产安全事故，是否配备必要的应急救援器材、设备。</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《危险化学品生产企业安全生产许可证审查书》</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针对可能发生的火灾、爆炸、中毒事故，配备有相应的应急救援器材、设备。</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25</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从业人员从业条件及配备是否符合《实施办法》和《广东省安全生产监督管理局关于规范危险化学品生产企业从业人员从业条件的指导意见》(粤安监〔2009〕374号)有关要求。</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关于认真贯彻危险化学品生产企业安全生产许可证实施办法的通知》(粤安监管三(2011)44号)</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专职安全管理人员具备注册安全工程师资格。</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26</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企业作业场所的化学品物质危险性公示、警示标志是否符合《化学品分类和危险性公示通则》(GB13690—2009)、《工业场所职业病危害警示标识》(GBZ158-2003)、《安全标志及其使用导则》(GB2894-2008)等标准规范要求。</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关于认真贯彻危险化学品生产企业安全生产许可证实施办法的通知》(粤安监管三(2011)44号)</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企业作业场所的化学品物质危险性公示、警示标志基本符合上述规范要求。</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27</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企业生产、储存、装卸易燃易爆场所的建筑工程消防、特种设备、防雷、防静电、电气安全、可燃有毒气体检测报警措施是否有效可行，并将相关验收文件、检测检验合格报告等资料作为评价报告的附件。</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《关于认真贯彻危险化学品生产企业安全生产许可证实施办法的通知》</w:t>
            </w:r>
            <w:r>
              <w:rPr>
                <w:rFonts w:hint="eastAsia" w:ascii="宋体" w:hAnsi="宋体" w:eastAsia="宋体" w:cs="宋体"/>
                <w:color w:val="auto"/>
                <w:kern w:val="2"/>
                <w:sz w:val="21"/>
                <w:szCs w:val="21"/>
                <w:lang w:eastAsia="zh-CN"/>
              </w:rPr>
              <w:t xml:space="preserve"> (</w:t>
            </w:r>
            <w:r>
              <w:rPr>
                <w:rFonts w:hint="eastAsia" w:ascii="宋体" w:hAnsi="宋体" w:eastAsia="宋体" w:cs="宋体"/>
                <w:color w:val="auto"/>
                <w:kern w:val="2"/>
                <w:sz w:val="21"/>
                <w:szCs w:val="21"/>
              </w:rPr>
              <w:t>粤安监管三〔2011〕44号</w:t>
            </w:r>
            <w:r>
              <w:rPr>
                <w:rFonts w:hint="eastAsia" w:ascii="宋体" w:hAnsi="宋体" w:eastAsia="宋体" w:cs="宋体"/>
                <w:color w:val="auto"/>
                <w:kern w:val="2"/>
                <w:sz w:val="21"/>
                <w:szCs w:val="21"/>
                <w:lang w:eastAsia="zh-CN"/>
              </w:rPr>
              <w:t>)</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建筑工程消防、防雷经过检测合格。</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2"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28</w:t>
            </w:r>
          </w:p>
        </w:tc>
        <w:tc>
          <w:tcPr>
            <w:tcW w:w="367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危险化学品生产企业应在厂(库)区主大门内的醒目显要处设置“厂(库)区总平面布置图”图中划标生产区和非生产区，标注厂房、仓库、罐区等设施的功能用途及火灾危险性，以及应急救援设备(设施)位置、疏散线路等情况；还应严格按照《安全标志及其使用导则》和《常用危险化学品安全周知卡编制导则》等要求，组织技术人员制作“危险化学品安全周知牌(卡)”，并在易燃、易爆、有毒有害等作业场所醒目位置悬挂或张贴。</w:t>
            </w:r>
          </w:p>
        </w:tc>
        <w:tc>
          <w:tcPr>
            <w:tcW w:w="2215"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《关于规范危险化学品生产、储存企业作业场所安全标志标识的通知》(粤安监管三〔2011〕50号)</w:t>
            </w:r>
          </w:p>
        </w:tc>
        <w:tc>
          <w:tcPr>
            <w:tcW w:w="2037" w:type="dxa"/>
            <w:vAlign w:val="center"/>
          </w:tcPr>
          <w:p>
            <w:pPr>
              <w:keepNext w:val="0"/>
              <w:keepLines w:val="0"/>
              <w:suppressLineNumbers w:val="0"/>
              <w:spacing w:before="0" w:beforeAutospacing="0" w:after="0" w:afterAutospacing="0" w:line="240" w:lineRule="auto"/>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该企业有按照《通知》要求在主大门内的醒目、显要处设置“厂区总平面布置图”</w:t>
            </w:r>
            <w:r>
              <w:rPr>
                <w:rFonts w:hint="eastAsia" w:ascii="宋体" w:hAnsi="宋体" w:eastAsia="宋体" w:cs="宋体"/>
                <w:color w:val="auto"/>
                <w:kern w:val="2"/>
                <w:sz w:val="21"/>
                <w:szCs w:val="21"/>
                <w:lang w:eastAsia="zh-CN"/>
              </w:rPr>
              <w:t>。厂房四（厂房C）、库房一(仓库A)</w:t>
            </w:r>
            <w:r>
              <w:rPr>
                <w:rFonts w:hint="eastAsia" w:ascii="宋体" w:hAnsi="宋体" w:eastAsia="宋体" w:cs="宋体"/>
                <w:color w:val="auto"/>
                <w:kern w:val="2"/>
                <w:sz w:val="21"/>
                <w:szCs w:val="21"/>
              </w:rPr>
              <w:t>等作业场所</w:t>
            </w:r>
            <w:r>
              <w:rPr>
                <w:rFonts w:hint="eastAsia" w:ascii="宋体" w:hAnsi="宋体" w:eastAsia="宋体" w:cs="宋体"/>
                <w:color w:val="auto"/>
                <w:kern w:val="2"/>
                <w:sz w:val="21"/>
                <w:szCs w:val="21"/>
                <w:lang w:eastAsia="zh-CN"/>
              </w:rPr>
              <w:t>内设置有物料的安全周知卡。</w:t>
            </w:r>
          </w:p>
        </w:tc>
        <w:tc>
          <w:tcPr>
            <w:tcW w:w="733" w:type="dxa"/>
            <w:vAlign w:val="center"/>
          </w:tcPr>
          <w:p>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合格</w:t>
            </w:r>
          </w:p>
        </w:tc>
      </w:tr>
    </w:tbl>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根据《危险化学品生产企业安全生产许可证审查书》(国家安全生产监督管理局“安监管危化字”[2004]110号)、《危险化学品生产企业安全生产许可证实施办法》(国家安全生产监督管理局令第41号，国家安全生产监督管理总局令第79号修改)、《关于认真贯彻危险化学品生产企业安全生产许可证实施办法的通知》(粤安监管三(2011)44号)，对企业安全生产许可条件进行逐项检查，其中有1项不符合项，其余均符合要求。不符合项具体为：</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1）不涉及危险工艺，厂房四（厂房C）、库房一(仓库A)均设置有可燃气体检测报警装置，但库房一(仓库A)可燃气体探测器不足。</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该公司根据整改建议进行了整改，整改后符合要求。</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7重大生产安全事故隐患判定标准（试行）符合性检查表</w:t>
      </w:r>
    </w:p>
    <w:p>
      <w:pPr>
        <w:pStyle w:val="20"/>
        <w:spacing w:line="480" w:lineRule="exact"/>
        <w:rPr>
          <w:rFonts w:cs="宋体"/>
          <w:color w:val="auto"/>
          <w:szCs w:val="28"/>
          <w:lang w:eastAsia="zh-CN"/>
        </w:rPr>
      </w:pPr>
      <w:r>
        <w:rPr>
          <w:rFonts w:hint="eastAsia" w:cs="宋体"/>
          <w:color w:val="auto"/>
          <w:szCs w:val="28"/>
        </w:rPr>
        <w:t>根据《化工和危险化学品生产经营单位重大生产安全事故隐患判定标准（试行）》（安监总管三[2017]121号）内容编制检查表，进行分析评价，其结果如下。</w:t>
      </w:r>
    </w:p>
    <w:p>
      <w:pPr>
        <w:spacing w:line="560" w:lineRule="exact"/>
        <w:jc w:val="center"/>
        <w:rPr>
          <w:rFonts w:ascii="宋体" w:hAnsi="宋体" w:eastAsia="PMingLiU"/>
          <w:b/>
          <w:color w:val="auto"/>
          <w:lang w:eastAsia="zh-CN"/>
        </w:rPr>
      </w:pPr>
      <w:r>
        <w:rPr>
          <w:rFonts w:ascii="宋体" w:hAnsi="宋体" w:eastAsia="宋体"/>
          <w:b/>
          <w:color w:val="auto"/>
        </w:rPr>
        <w:t>附表2-</w:t>
      </w:r>
      <w:r>
        <w:rPr>
          <w:rFonts w:hint="eastAsia" w:ascii="宋体" w:hAnsi="宋体" w:eastAsia="宋体"/>
          <w:b/>
          <w:color w:val="auto"/>
          <w:lang w:eastAsia="zh-CN"/>
        </w:rPr>
        <w:t>6重大生产安全事故隐患判定</w:t>
      </w:r>
      <w:r>
        <w:rPr>
          <w:rFonts w:ascii="宋体" w:hAnsi="宋体" w:eastAsia="宋体"/>
          <w:b/>
          <w:color w:val="auto"/>
        </w:rPr>
        <w:t>检查表</w:t>
      </w:r>
    </w:p>
    <w:tbl>
      <w:tblPr>
        <w:tblStyle w:val="46"/>
        <w:tblW w:w="92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8"/>
        <w:gridCol w:w="4386"/>
        <w:gridCol w:w="3060"/>
        <w:gridCol w:w="9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blHeade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检查内容</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检查情况</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结果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危险化学品生产、经营单位主要负责人和安全生产管理人员未依法经考核合格。</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主要负责人和安全生产管理人员均依法经考核合格。</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特种作业人员未持证上岗。</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特种作业人员持证上岗。</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涉及“两重点一重大”的生产装置、储存设施外部安全防护距离不符合国家标准要求。</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生产装置、储存设施外部安全防护距离符合国家标准要求。</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涉及重点监管危险化工工艺的装置未实现自动化控制，系统未实现紧急停车功能，装备的自动化控制系统、紧急停车系统未投入使用。</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没有重点监管危险化工工艺</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构成一级、二级重大危险源的危险化学品罐区未实现紧急切断功能；涉及毒性气体、液化气体、剧毒液体的一级、二级重大危险源的危险化学品罐区未配备独立的安全仪表系统。</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未构成重大危险源，无此项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全压力式液化烃储罐未按国家标准设置注水措施。</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液化烃、液氨、液氯等易燃易爆、有毒有害液化气体的充装未使用万向管道充装系统。</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光气、氯气等剧毒气体及硫化氢气体管道穿越除厂区（包括化工园区、工业园区）外的公共区域。</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地区架空电力线路穿越生产区且不符合国家标准要求。</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无架空电力线路穿越生产区</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在役化工装置未经正规设计且未进行安全设计诊断。</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经正规设计且进行安全设计。</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使用淘汰落后安全技术工艺、设备目录列出的工艺、设备。</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未使用淘汰落后的工艺、设备。</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涉及可燃和有毒有害气体泄漏的场所未按国家标准设置检测报警装置，爆炸危险场所未按国家标准安装使用防爆电气设备。</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按国家标准设置检测报警装置，爆炸危险场所按国家标准安装使用防爆电气设备。</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控制室或机柜间面向具有火灾、爆炸危险性装置一侧不满足国家标准关于防火防爆的要求。</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满足国家标准关于防火防爆的要求。</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化工生产装置未按国家标准要求设置双重电源供电，自动化控制系统未设置不间断电源。</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按国家标准要求设置电源供电，不存在自动化控制系统。</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安全阀、爆破片等安全附件未正常投用。</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未建立与岗位相匹配的全员安全生产责任制或者未制定实施生产安全事故隐患排查治理制度。</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已建立相关责任制和管理制度</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未制定操作规程和工艺控制指标。</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已制定操作规程和工艺控制指标</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未按照国家标准制定动火、进入受限空间等特殊作业管理制度，或者制度未有效执行。</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制定有特殊作业管理制度，未发现违章作业。</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未按国家标准分区分类储存危险化学品，超量、超品种储存危险化学品，相互禁配物质混放混存。</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宋体"/>
                <w:color w:val="auto"/>
                <w:sz w:val="21"/>
                <w:szCs w:val="21"/>
              </w:rPr>
              <w:t>按国家标准储存危险化学品，未超量、超品种储存。</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19"/>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w:t>
            </w:r>
          </w:p>
        </w:tc>
      </w:tr>
    </w:tbl>
    <w:p>
      <w:pPr>
        <w:spacing w:line="560" w:lineRule="exact"/>
        <w:ind w:firstLine="560" w:firstLineChars="200"/>
        <w:jc w:val="both"/>
        <w:rPr>
          <w:rFonts w:ascii="宋体" w:hAnsi="宋体" w:eastAsia="宋体" w:cs="宋体"/>
          <w:color w:val="auto"/>
          <w:sz w:val="28"/>
          <w:szCs w:val="28"/>
        </w:rPr>
      </w:pPr>
      <w:r>
        <w:rPr>
          <w:rFonts w:hint="eastAsia" w:ascii="宋体" w:hAnsi="宋体" w:eastAsia="宋体" w:cs="宋体"/>
          <w:color w:val="auto"/>
          <w:sz w:val="28"/>
          <w:szCs w:val="28"/>
        </w:rPr>
        <w:t>根据检查结果可知，该公司不存在《化工和危险化学品生产经营单位重大生产安全事故隐患判定标准（试行）》规定的重大生产安全事故隐患。</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8安全风险评估诊断分级评价</w:t>
      </w:r>
    </w:p>
    <w:p>
      <w:pPr>
        <w:spacing w:line="560" w:lineRule="exact"/>
        <w:ind w:firstLine="560" w:firstLineChars="200"/>
        <w:jc w:val="both"/>
        <w:rPr>
          <w:rFonts w:hint="eastAsia" w:ascii="宋体" w:hAnsi="宋体" w:eastAsia="宋体" w:cs="宋体"/>
          <w:color w:val="auto"/>
          <w:sz w:val="28"/>
          <w:szCs w:val="28"/>
        </w:rPr>
      </w:pPr>
      <w:r>
        <w:rPr>
          <w:rFonts w:hint="eastAsia" w:ascii="宋体" w:hAnsi="宋体" w:eastAsia="宋体" w:cs="宋体"/>
          <w:color w:val="auto"/>
          <w:sz w:val="28"/>
          <w:szCs w:val="28"/>
        </w:rPr>
        <w:t>根据应急管理部关于印发危险化学品生产储存企业安全风险评估诊断分级指南（试行）的通知（应急[2018]19号）和广东省安全生产监督管理局转发应急管理部关于印发危险化学品生产储存企业安全风险评估诊断分级指南（试行）的通知（粤安监管三〔2018〕9号）的内容，对该公司安全风险评估诊断分级如下：</w:t>
      </w:r>
    </w:p>
    <w:p>
      <w:pPr>
        <w:spacing w:line="560" w:lineRule="exact"/>
        <w:jc w:val="center"/>
        <w:rPr>
          <w:rFonts w:ascii="宋体" w:hAnsi="宋体" w:eastAsia="宋体"/>
          <w:b/>
          <w:color w:val="auto"/>
          <w:lang w:eastAsia="zh-CN"/>
        </w:rPr>
      </w:pPr>
      <w:r>
        <w:rPr>
          <w:rFonts w:hint="eastAsia" w:ascii="宋体" w:hAnsi="宋体" w:eastAsia="宋体"/>
          <w:b/>
          <w:color w:val="auto"/>
        </w:rPr>
        <w:t>附表2-</w:t>
      </w:r>
      <w:r>
        <w:rPr>
          <w:rFonts w:hint="eastAsia" w:ascii="宋体" w:hAnsi="宋体" w:eastAsia="宋体"/>
          <w:b/>
          <w:color w:val="auto"/>
          <w:lang w:eastAsia="zh-CN"/>
        </w:rPr>
        <w:t>7安全风险评估诊断分级表</w:t>
      </w:r>
    </w:p>
    <w:tbl>
      <w:tblPr>
        <w:tblStyle w:val="46"/>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664"/>
        <w:gridCol w:w="5726"/>
        <w:gridCol w:w="454"/>
        <w:gridCol w:w="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44"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类别</w:t>
            </w:r>
          </w:p>
        </w:tc>
        <w:tc>
          <w:tcPr>
            <w:tcW w:w="1664"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项目（分值）</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评估内容</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扣分值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1.固有危险性</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重大危险源</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存在一级危险化学品重大危险源的，扣10分；</w:t>
            </w:r>
          </w:p>
        </w:tc>
        <w:tc>
          <w:tcPr>
            <w:tcW w:w="1052" w:type="dxa"/>
            <w:gridSpan w:val="2"/>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存在二级危险化学品重大危险源的，扣8分；</w:t>
            </w:r>
          </w:p>
        </w:tc>
        <w:tc>
          <w:tcPr>
            <w:tcW w:w="1052" w:type="dxa"/>
            <w:gridSpan w:val="2"/>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存在三级危险化学品重大危险源的，扣6分；</w:t>
            </w:r>
          </w:p>
        </w:tc>
        <w:tc>
          <w:tcPr>
            <w:tcW w:w="1052" w:type="dxa"/>
            <w:gridSpan w:val="2"/>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存在四级危险化学品重大危险源的，扣4分。</w:t>
            </w:r>
          </w:p>
        </w:tc>
        <w:tc>
          <w:tcPr>
            <w:tcW w:w="1052" w:type="dxa"/>
            <w:gridSpan w:val="2"/>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物质危险性</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（5分）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生产、储存爆炸品的（实验室化学试剂除外），每一种扣2分；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生产、储存（含管道输送）氯气、光气等吸入性剧毒化学品的（实验室化学试剂除外），每一种扣2分；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生产、储存其他重点监管危险化学品的（实验室化学试剂除外），每一种扣0.1分。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eastAsia="zh-CN"/>
              </w:rPr>
              <w:t>扣</w:t>
            </w:r>
            <w:r>
              <w:rPr>
                <w:rFonts w:hint="eastAsia" w:ascii="宋体" w:hAnsi="宋体" w:cs="宋体"/>
                <w:color w:val="auto"/>
                <w:sz w:val="21"/>
                <w:szCs w:val="21"/>
                <w:lang w:val="en-US" w:eastAsia="zh-CN"/>
              </w:rPr>
              <w:t>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危险化工工艺种类</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涉及18种危险化工工艺的，每一种扣2分。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火灾爆炸危险性</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（5分）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涉及甲类/乙类火灾危险性类别厂房、库房或者罐区的，每涉及一处扣1/0.5分；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eastAsia="zh-CN"/>
              </w:rPr>
              <w:t>扣</w:t>
            </w:r>
            <w:r>
              <w:rPr>
                <w:rFonts w:hint="eastAsia" w:ascii="宋体" w:hAnsi="宋体" w:cs="宋体"/>
                <w:color w:val="auto"/>
                <w:sz w:val="21"/>
                <w:szCs w:val="21"/>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涉及甲类、乙类火灾危险性罐区、气柜与加热炉等与产生明火的设施、装置比邻布置的，扣5分。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2.周边环境</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周边环境</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企业在化工园区（化工集中区）外的，扣3分；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eastAsia="zh-CN"/>
              </w:rPr>
              <w:t>扣</w:t>
            </w:r>
            <w:r>
              <w:rPr>
                <w:rFonts w:hint="eastAsia" w:ascii="宋体" w:hAnsi="宋体" w:cs="宋体"/>
                <w:color w:val="auto"/>
                <w:sz w:val="21"/>
                <w:szCs w:val="21"/>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企业外部安全防护距离不符合《危险化学品生产、储存装置个人可接受风险标准和社会可接受风险标准（试行）》的，扣10分。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3.设计与评估</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设计与评估（10分）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国内首次使用的化工工艺未经过省级人民政府有关部门组织安全可靠性论证的，扣5分；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精细化工企业未按规范性文件要求开展反应安全风险评估的，扣10分；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企业危险化学品生产储存装置均由甲级资质设计单位进行全面设计的，加2分。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4.设备</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设备</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（5分）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使用淘汰落后安全技术工艺、设备目录列出的工艺及设备的，每一项扣2分；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特种设备没有办理使用登记证书的，或者未按要求定期检验的，扣2分；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化工生产装置未按国家标准要求设置双电源或者双回路供电的，扣5分。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5.自控与</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安全设施</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自控与安全设施</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涉及重点监管危险化工工艺的装置未按要求实现自动化控制，系统未实现紧急停车功能，装备的自动化控制系统、紧急停车系统未投入使用的，扣10分；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涉及毒性气体、液化气体、剧毒液体的一级、二级重大危险源的危险化学品罐区未配备独立的安全仪表系统的，扣10分；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构成一级、二级重大危险源的危险化学品罐区未实现紧急切断功能的，扣5分；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危险化学品重大危险源未设置压力、液位、温度远传监控和超限位报警装置的，每涉及一项扣1分；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涉及可燃和有毒有害气体泄漏的场所未按国家标准设置检测声光报警设施的，每一处扣1分；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防爆区域未按国家标准安装使用防爆电气设备的，每一处扣1分；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甲类、乙类火灾危险性生产装置内设有办公室、操作室、固定操作岗位或休息室的，每涉及一处扣5分。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6.人员资质</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人员资质</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（15分）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企业主要负责人和安全生产管理人员未依法经考核合格的，每一人次扣5分；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企业专职安全生产管理人员不具备国民教育化工化学类（或安全工程）中等职业教育以上学历或者化工化学类中级以上专业技术职称的，每一人次扣5分；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涉及“两重点一重大”装置的生产、设备及工艺专业管理人员不具有相应专业大专以上学历的，每一人次扣5分；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企业未按有关要求配备注册安全工程师的，扣3分；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企业主要负责人、分管安全生产工作负责人、安全管理部门主要负责人为化学化工类专业毕业的，每一人次加2分。</w:t>
            </w:r>
          </w:p>
        </w:tc>
        <w:tc>
          <w:tcPr>
            <w:tcW w:w="1052" w:type="dxa"/>
            <w:gridSpan w:val="2"/>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eastAsia="zh-CN"/>
              </w:rPr>
              <w:t>加</w:t>
            </w:r>
            <w:r>
              <w:rPr>
                <w:rFonts w:hint="eastAsia" w:ascii="宋体" w:hAnsi="宋体" w:cs="宋体"/>
                <w:color w:val="auto"/>
                <w:sz w:val="21"/>
                <w:szCs w:val="21"/>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7.安全管理制度</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管理制度</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未制定操作规程和工艺控制指标或者制定的操作规程和工艺控制指标不完善的，扣5分；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动火、进入受限空间等特殊作业管理制度不符合国家标准或未有效执行的，扣10分；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未建立与岗位相匹配的全员安全生产责任制的，每涉及一个岗位扣2分。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44"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8.应急管理</w:t>
            </w:r>
          </w:p>
        </w:tc>
        <w:tc>
          <w:tcPr>
            <w:tcW w:w="1664"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应急配备</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企业自设专职消防应急队伍的，加3分。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9.安全管理绩效</w:t>
            </w: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安全生产标准化达标</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安全生产标准化为一级的，加15分；</w:t>
            </w:r>
          </w:p>
        </w:tc>
        <w:tc>
          <w:tcPr>
            <w:tcW w:w="1052" w:type="dxa"/>
            <w:gridSpan w:val="2"/>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安全生产标准化为二级的，加5分；</w:t>
            </w:r>
          </w:p>
        </w:tc>
        <w:tc>
          <w:tcPr>
            <w:tcW w:w="1052" w:type="dxa"/>
            <w:gridSpan w:val="2"/>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安全生产标准化为三级的，加2分。</w:t>
            </w:r>
          </w:p>
        </w:tc>
        <w:tc>
          <w:tcPr>
            <w:tcW w:w="1052" w:type="dxa"/>
            <w:gridSpan w:val="2"/>
          </w:tcPr>
          <w:p>
            <w:pPr>
              <w:pStyle w:val="1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eastAsia="zh-CN"/>
              </w:rPr>
              <w:t>加</w:t>
            </w:r>
            <w:r>
              <w:rPr>
                <w:rFonts w:hint="eastAsia" w:ascii="宋体" w:hAnsi="宋体" w:cs="宋体"/>
                <w:color w:val="auto"/>
                <w:sz w:val="21"/>
                <w:szCs w:val="21"/>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restart"/>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安全事故情况</w:t>
            </w:r>
          </w:p>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（10分）</w:t>
            </w: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三年内发生过1起较大安全事故的，扣10分;</w:t>
            </w:r>
          </w:p>
        </w:tc>
        <w:tc>
          <w:tcPr>
            <w:tcW w:w="1052" w:type="dxa"/>
            <w:gridSpan w:val="2"/>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三年内发生过1起安全事故造成1-2人死亡的，扣8分;</w:t>
            </w:r>
          </w:p>
        </w:tc>
        <w:tc>
          <w:tcPr>
            <w:tcW w:w="1052" w:type="dxa"/>
            <w:gridSpan w:val="2"/>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三年内发生过爆炸、着火、中毒等具有社会影响的安全事故，但未造成人员伤亡的，扣5分;</w:t>
            </w:r>
          </w:p>
        </w:tc>
        <w:tc>
          <w:tcPr>
            <w:tcW w:w="1052" w:type="dxa"/>
            <w:gridSpan w:val="2"/>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4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1664" w:type="dxa"/>
            <w:vMerge w:val="continue"/>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p>
        </w:tc>
        <w:tc>
          <w:tcPr>
            <w:tcW w:w="5726" w:type="dxa"/>
            <w:vAlign w:val="center"/>
          </w:tcPr>
          <w:p>
            <w:pPr>
              <w:pStyle w:val="1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五年内未发生安全事故的，加5分。</w:t>
            </w:r>
          </w:p>
        </w:tc>
        <w:tc>
          <w:tcPr>
            <w:tcW w:w="1052" w:type="dxa"/>
            <w:gridSpan w:val="2"/>
          </w:tcPr>
          <w:p>
            <w:pPr>
              <w:pStyle w:val="1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eastAsia="zh-CN"/>
              </w:rPr>
              <w:t>加</w:t>
            </w:r>
            <w:r>
              <w:rPr>
                <w:rFonts w:hint="eastAsia" w:ascii="宋体" w:hAnsi="宋体" w:cs="宋体"/>
                <w:color w:val="auto"/>
                <w:sz w:val="21"/>
                <w:szCs w:val="21"/>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9286" w:type="dxa"/>
            <w:gridSpan w:val="5"/>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存在下列情况之一的企业直接判定为红色（最高风险等级）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688" w:type="dxa"/>
            <w:gridSpan w:val="4"/>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新开发的危险化学品生产工艺未经小试、中试和工业化试验直接进行工业化生产的； </w:t>
            </w:r>
          </w:p>
        </w:tc>
        <w:tc>
          <w:tcPr>
            <w:tcW w:w="598" w:type="dxa"/>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688" w:type="dxa"/>
            <w:gridSpan w:val="4"/>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在役化工装置未经正规设计且未进行安全设计诊断的；</w:t>
            </w:r>
          </w:p>
        </w:tc>
        <w:tc>
          <w:tcPr>
            <w:tcW w:w="598" w:type="dxa"/>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688" w:type="dxa"/>
            <w:gridSpan w:val="4"/>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危险化学品特种作业人员未持有效证件上岗或者未达到高中以上文化程度的; </w:t>
            </w:r>
          </w:p>
        </w:tc>
        <w:tc>
          <w:tcPr>
            <w:tcW w:w="598" w:type="dxa"/>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688" w:type="dxa"/>
            <w:gridSpan w:val="4"/>
            <w:vAlign w:val="center"/>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三年内发生过重大以上安全事故的，或者三年内发生2起较大安全事故，或者近一年内发生2起以上亡人一般安全事故的。</w:t>
            </w:r>
          </w:p>
        </w:tc>
        <w:tc>
          <w:tcPr>
            <w:tcW w:w="598" w:type="dxa"/>
          </w:tcPr>
          <w:p>
            <w:pPr>
              <w:keepNext w:val="0"/>
              <w:keepLines w:val="0"/>
              <w:widowControl/>
              <w:suppressLineNumbers w:val="0"/>
              <w:spacing w:before="0" w:beforeAutospacing="0" w:after="0" w:afterAutospacing="0" w:line="240" w:lineRule="auto"/>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9286" w:type="dxa"/>
            <w:gridSpan w:val="5"/>
          </w:tcPr>
          <w:p>
            <w:pPr>
              <w:keepNext w:val="0"/>
              <w:keepLines w:val="0"/>
              <w:widowControl/>
              <w:suppressLineNumbers w:val="0"/>
              <w:spacing w:before="0" w:beforeAutospacing="0" w:after="0" w:afterAutospacing="0" w:line="240" w:lineRule="auto"/>
              <w:ind w:left="0" w:right="0"/>
              <w:rPr>
                <w:rFonts w:hint="eastAsia" w:ascii="宋体" w:hAnsi="宋体" w:eastAsia="宋体" w:cs="宋体"/>
                <w:bCs/>
                <w:color w:val="auto"/>
                <w:kern w:val="2"/>
                <w:sz w:val="21"/>
                <w:szCs w:val="21"/>
              </w:rPr>
            </w:pPr>
            <w:r>
              <w:rPr>
                <w:rFonts w:hint="eastAsia" w:ascii="宋体" w:hAnsi="宋体" w:eastAsia="宋体" w:cs="宋体"/>
                <w:color w:val="auto"/>
                <w:kern w:val="2"/>
                <w:sz w:val="21"/>
                <w:szCs w:val="21"/>
              </w:rPr>
              <w:t>备注：</w:t>
            </w:r>
            <w:r>
              <w:rPr>
                <w:rFonts w:hint="eastAsia" w:ascii="宋体" w:hAnsi="宋体" w:eastAsia="宋体" w:cs="宋体"/>
                <w:bCs/>
                <w:color w:val="auto"/>
                <w:kern w:val="2"/>
                <w:sz w:val="21"/>
                <w:szCs w:val="21"/>
              </w:rPr>
              <w:t xml:space="preserve"> 1.安全风险从高到低依次对应为红色、橙色、黄色、蓝色。总分在90分以上（含90分）的为蓝色；75分（含75分）至90分的为黄色；60分（含60分）至75分的为橙色；60分以下的为红色。</w:t>
            </w:r>
          </w:p>
          <w:p>
            <w:pPr>
              <w:keepNext w:val="0"/>
              <w:keepLines w:val="0"/>
              <w:widowControl/>
              <w:suppressLineNumbers w:val="0"/>
              <w:spacing w:before="0" w:beforeAutospacing="0" w:after="0" w:afterAutospacing="0" w:line="240" w:lineRule="auto"/>
              <w:ind w:left="0" w:right="0"/>
              <w:rPr>
                <w:rFonts w:hint="eastAsia" w:ascii="宋体" w:hAnsi="宋体" w:eastAsia="宋体" w:cs="宋体"/>
                <w:bCs/>
                <w:color w:val="auto"/>
                <w:kern w:val="2"/>
                <w:sz w:val="21"/>
                <w:szCs w:val="21"/>
              </w:rPr>
            </w:pPr>
            <w:r>
              <w:rPr>
                <w:rFonts w:hint="eastAsia" w:ascii="宋体" w:hAnsi="宋体" w:eastAsia="宋体" w:cs="宋体"/>
                <w:bCs/>
                <w:color w:val="auto"/>
                <w:kern w:val="2"/>
                <w:sz w:val="21"/>
                <w:szCs w:val="21"/>
              </w:rPr>
              <w:t xml:space="preserve"> 2.每个项目分值扣完为止，最低为0分。</w:t>
            </w:r>
          </w:p>
          <w:p>
            <w:pPr>
              <w:keepNext w:val="0"/>
              <w:keepLines w:val="0"/>
              <w:widowControl/>
              <w:suppressLineNumbers w:val="0"/>
              <w:spacing w:before="0" w:beforeAutospacing="0" w:after="0" w:afterAutospacing="0" w:line="240" w:lineRule="auto"/>
              <w:ind w:left="0" w:right="0"/>
              <w:rPr>
                <w:rFonts w:hint="eastAsia" w:ascii="宋体" w:hAnsi="宋体" w:eastAsia="宋体" w:cs="宋体"/>
                <w:bCs/>
                <w:color w:val="auto"/>
                <w:kern w:val="2"/>
                <w:sz w:val="21"/>
                <w:szCs w:val="21"/>
              </w:rPr>
            </w:pPr>
            <w:r>
              <w:rPr>
                <w:rFonts w:hint="eastAsia" w:ascii="宋体" w:hAnsi="宋体" w:eastAsia="宋体" w:cs="宋体"/>
                <w:bCs/>
                <w:color w:val="auto"/>
                <w:kern w:val="2"/>
                <w:sz w:val="21"/>
                <w:szCs w:val="21"/>
              </w:rPr>
              <w:t xml:space="preserve"> 3.储存企业指带储存的经营企业。</w:t>
            </w:r>
          </w:p>
        </w:tc>
      </w:tr>
    </w:tbl>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rPr>
        <w:t>根据上表分析结果可知，总得分</w:t>
      </w:r>
      <w:r>
        <w:rPr>
          <w:rFonts w:hint="eastAsia" w:ascii="宋体" w:hAnsi="宋体" w:eastAsia="宋体"/>
          <w:color w:val="auto"/>
          <w:sz w:val="28"/>
          <w:szCs w:val="28"/>
          <w:lang w:val="en-US" w:eastAsia="zh-CN"/>
        </w:rPr>
        <w:t>103</w:t>
      </w:r>
      <w:r>
        <w:rPr>
          <w:rFonts w:hint="eastAsia" w:ascii="宋体" w:hAnsi="宋体" w:eastAsia="宋体"/>
          <w:color w:val="auto"/>
          <w:sz w:val="28"/>
          <w:szCs w:val="28"/>
          <w:lang w:eastAsia="zh-CN"/>
        </w:rPr>
        <w:t>.7</w:t>
      </w:r>
      <w:r>
        <w:rPr>
          <w:rFonts w:hint="eastAsia" w:ascii="宋体" w:hAnsi="宋体" w:eastAsia="宋体"/>
          <w:color w:val="auto"/>
          <w:sz w:val="28"/>
          <w:szCs w:val="28"/>
        </w:rPr>
        <w:t>分，安全风险分级为蓝色。</w:t>
      </w:r>
      <w:bookmarkStart w:id="184" w:name="bookmark142"/>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6</w:t>
      </w:r>
      <w:r>
        <w:rPr>
          <w:rFonts w:ascii="宋体" w:hAnsi="宋体" w:eastAsia="宋体" w:cs="Times New Roman"/>
          <w:bCs/>
          <w:color w:val="auto"/>
          <w:kern w:val="2"/>
          <w:sz w:val="28"/>
          <w:szCs w:val="28"/>
          <w:lang w:val="en-US" w:eastAsia="zh-CN" w:bidi="ar-SA"/>
        </w:rPr>
        <w:t>装置爆炸区域划分情况</w:t>
      </w:r>
      <w:bookmarkEnd w:id="184"/>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爆炸危险区域的等级定义应符合现行国家标准《爆炸危险环境电力装置设计规范》(GB50058-2014)的规定。</w:t>
      </w:r>
    </w:p>
    <w:p>
      <w:pPr>
        <w:spacing w:line="560" w:lineRule="exact"/>
        <w:ind w:firstLine="425" w:firstLineChars="152"/>
        <w:rPr>
          <w:rFonts w:ascii="宋体" w:hAnsi="宋体" w:eastAsia="宋体"/>
          <w:color w:val="auto"/>
          <w:sz w:val="28"/>
          <w:szCs w:val="28"/>
          <w:lang w:eastAsia="zh-CN"/>
        </w:rPr>
      </w:pPr>
      <w:r>
        <w:rPr>
          <w:rFonts w:ascii="宋体" w:hAnsi="宋体" w:eastAsia="PMingLiU"/>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lang w:eastAsia="zh-CN"/>
        </w:rPr>
        <w:t>爆炸危险区域划分依据《爆炸危险环境电力装置设计规范》第3.2.5条，爆炸危险区域的划分应按释放源级别和通风条件确定，并应符合下列规定。</w:t>
      </w:r>
    </w:p>
    <w:p>
      <w:pPr>
        <w:spacing w:line="560" w:lineRule="exact"/>
        <w:ind w:firstLine="425" w:firstLineChars="152"/>
        <w:rPr>
          <w:rFonts w:ascii="宋体" w:hAnsi="宋体" w:eastAsia="宋体"/>
          <w:color w:val="auto"/>
          <w:sz w:val="28"/>
          <w:szCs w:val="28"/>
          <w:lang w:eastAsia="zh-CN"/>
        </w:rPr>
      </w:pPr>
      <w:r>
        <w:rPr>
          <w:rFonts w:ascii="宋体" w:hAnsi="宋体" w:eastAsia="PMingLiU"/>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lang w:eastAsia="zh-CN"/>
        </w:rPr>
        <w:t>首先应按下列释放源的级别划分区域：①存在连续级释放源的区域划分为0区；②存在第一级释放源的的区可划分为1区；③存在第二级释放源的区域可划分区2区。</w:t>
      </w:r>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其次应根据通风条件调整区域划分：①当通风良好时，应降低爆炸危险区域等级，当通风不良时应提高爆炸危险区域等级。②局部机械通风在降低爆炸性气体混合物浓度方面比自然通风和一般机械通风更为有效时，可采用局部通风降低爆炸危险区域等级。③在障碍物、凹坑和死角处，应局部提高爆炸危险区域等级。④利用堤或墙等障碍物，限制比空气重的爆炸性气体混合物的扩散，可缩小爆炸危险区域的范围。当符合下列条件之一时，可划为非爆炸危险区域：a.没有释放源并不可能有易燃物质侵入的区域；b.易燃物质可能出现的最高浓度不超过爆炸下限值的10%；c.在生产过程中使用明火的设备附近，或炽热部件的表面温度不超过区域内易燃物质引燃温度的设备附近；d.在生产装置区外，露天或开敞设置的输送易燃物质的架空管道地带，但其阀门处按具体情况定。</w:t>
      </w:r>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爆炸危险区域范围对于易燃物质重于空气、通风良好且为第二级释放源的主要生产装置区，其爆炸危险区域的范围划分，宜符合下列规定(附图2-1及附图2-2)：</w:t>
      </w:r>
    </w:p>
    <w:p>
      <w:pPr>
        <w:jc w:val="center"/>
        <w:rPr>
          <w:color w:val="auto"/>
        </w:rPr>
      </w:pPr>
      <w:r>
        <w:rPr>
          <w:color w:val="auto"/>
          <w:lang w:val="en-US" w:eastAsia="zh-CN" w:bidi="ar-SA"/>
        </w:rPr>
        <w:drawing>
          <wp:inline distT="0" distB="0" distL="0" distR="0">
            <wp:extent cx="5495925" cy="1647825"/>
            <wp:effectExtent l="0" t="0" r="0" b="0"/>
            <wp:docPr id="1" name="图片 1"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age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495925" cy="1647825"/>
                    </a:xfrm>
                    <a:prstGeom prst="rect">
                      <a:avLst/>
                    </a:prstGeom>
                    <a:noFill/>
                    <a:ln>
                      <a:noFill/>
                    </a:ln>
                  </pic:spPr>
                </pic:pic>
              </a:graphicData>
            </a:graphic>
          </wp:inline>
        </w:drawing>
      </w:r>
    </w:p>
    <w:p>
      <w:pPr>
        <w:spacing w:line="600" w:lineRule="exact"/>
        <w:jc w:val="center"/>
        <w:rPr>
          <w:rFonts w:ascii="宋体" w:hAnsi="宋体" w:eastAsia="宋体"/>
          <w:b/>
          <w:color w:val="auto"/>
        </w:rPr>
      </w:pPr>
      <w:r>
        <w:rPr>
          <w:rFonts w:ascii="宋体" w:hAnsi="宋体" w:eastAsia="宋体"/>
          <w:b/>
          <w:color w:val="auto"/>
        </w:rPr>
        <w:t>附图2-1释放源接近地坪时易燃物质重于空气、通风良好的生产装置区</w:t>
      </w:r>
    </w:p>
    <w:p>
      <w:pPr>
        <w:jc w:val="center"/>
        <w:rPr>
          <w:color w:val="auto"/>
        </w:rPr>
      </w:pPr>
      <w:r>
        <w:rPr>
          <w:color w:val="auto"/>
          <w:lang w:val="en-US" w:eastAsia="zh-CN" w:bidi="ar-SA"/>
        </w:rPr>
        <w:drawing>
          <wp:inline distT="0" distB="0" distL="0" distR="0">
            <wp:extent cx="5067300" cy="2295525"/>
            <wp:effectExtent l="0" t="0" r="0" b="0"/>
            <wp:docPr id="2" name="图片 2"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age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067300" cy="2295525"/>
                    </a:xfrm>
                    <a:prstGeom prst="rect">
                      <a:avLst/>
                    </a:prstGeom>
                    <a:noFill/>
                    <a:ln>
                      <a:noFill/>
                    </a:ln>
                  </pic:spPr>
                </pic:pic>
              </a:graphicData>
            </a:graphic>
          </wp:inline>
        </w:drawing>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(1)在爆炸危险区域内，地坪下的坑、沟划为1区；</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⑵以释放源为中心，半径为15m，地坪上的高度为7.5m及半径为7.5m，顶部与释放源的距离为7.5m的范围内划为2区；</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⑶以释放源为中心，总半径为30m，地坪上的高度为0.6m，且在2区</w:t>
      </w:r>
    </w:p>
    <w:p>
      <w:pPr>
        <w:spacing w:line="560" w:lineRule="exact"/>
        <w:ind w:firstLine="425" w:firstLineChars="152"/>
        <w:rPr>
          <w:rFonts w:ascii="宋体" w:hAnsi="宋体" w:eastAsia="宋体"/>
          <w:color w:val="auto"/>
          <w:sz w:val="28"/>
          <w:szCs w:val="28"/>
        </w:rPr>
      </w:pPr>
      <w:bookmarkStart w:id="185" w:name="bookmark143"/>
      <w:r>
        <w:rPr>
          <w:rFonts w:ascii="宋体" w:hAnsi="宋体" w:eastAsia="宋体"/>
          <w:color w:val="auto"/>
          <w:sz w:val="28"/>
          <w:szCs w:val="28"/>
        </w:rPr>
        <w:t>以外的范围内划为附加2区。</w:t>
      </w:r>
      <w:bookmarkEnd w:id="185"/>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结论：爆炸危险区域划分结果该项目的</w:t>
      </w:r>
      <w:r>
        <w:rPr>
          <w:rFonts w:hint="eastAsia" w:ascii="宋体" w:hAnsi="宋体" w:eastAsia="宋体"/>
          <w:color w:val="auto"/>
          <w:sz w:val="28"/>
          <w:szCs w:val="28"/>
          <w:lang w:eastAsia="zh-CN"/>
        </w:rPr>
        <w:t>厂房四（厂房C）</w:t>
      </w:r>
      <w:r>
        <w:rPr>
          <w:rFonts w:ascii="宋体" w:hAnsi="宋体" w:eastAsia="宋体"/>
          <w:color w:val="auto"/>
          <w:sz w:val="28"/>
          <w:szCs w:val="28"/>
        </w:rPr>
        <w:t>及</w:t>
      </w:r>
      <w:r>
        <w:rPr>
          <w:rFonts w:hint="eastAsia" w:ascii="宋体" w:hAnsi="宋体" w:eastAsia="宋体"/>
          <w:color w:val="auto"/>
          <w:sz w:val="28"/>
          <w:szCs w:val="28"/>
          <w:lang w:eastAsia="zh-CN"/>
        </w:rPr>
        <w:t>库房一(仓库A)</w:t>
      </w:r>
      <w:r>
        <w:rPr>
          <w:rFonts w:ascii="宋体" w:hAnsi="宋体" w:eastAsia="宋体"/>
          <w:color w:val="auto"/>
          <w:sz w:val="28"/>
          <w:szCs w:val="28"/>
        </w:rPr>
        <w:t>属于爆炸危险2区，其余场所属于正常场所。</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6" w:name="bookmark144"/>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7</w:t>
      </w:r>
      <w:r>
        <w:rPr>
          <w:rFonts w:ascii="宋体" w:hAnsi="宋体" w:eastAsia="宋体" w:cs="Times New Roman"/>
          <w:bCs/>
          <w:color w:val="auto"/>
          <w:kern w:val="2"/>
          <w:sz w:val="28"/>
          <w:szCs w:val="28"/>
          <w:lang w:val="en-US" w:eastAsia="zh-CN" w:bidi="ar-SA"/>
        </w:rPr>
        <w:t>安全检查表评价结果小结</w:t>
      </w:r>
      <w:bookmarkEnd w:id="186"/>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通过对企业的安全管理、生产区、储存区、平面布局、建筑间防火间距、对危险化学品生产企业的安全生产许可条件要求编制安全检查表检查，该公司检查项</w:t>
      </w:r>
      <w:r>
        <w:rPr>
          <w:rFonts w:hint="eastAsia" w:ascii="宋体" w:hAnsi="宋体" w:eastAsia="宋体"/>
          <w:color w:val="auto"/>
          <w:sz w:val="28"/>
          <w:szCs w:val="28"/>
          <w:lang w:eastAsia="zh-CN"/>
        </w:rPr>
        <w:t>共有</w:t>
      </w:r>
      <w:r>
        <w:rPr>
          <w:rFonts w:hint="eastAsia" w:ascii="宋体" w:hAnsi="宋体" w:eastAsia="宋体"/>
          <w:color w:val="auto"/>
          <w:sz w:val="28"/>
          <w:szCs w:val="28"/>
          <w:lang w:val="en-US" w:eastAsia="zh-CN"/>
        </w:rPr>
        <w:t>2</w:t>
      </w:r>
      <w:r>
        <w:rPr>
          <w:rFonts w:hint="eastAsia" w:ascii="宋体" w:hAnsi="宋体" w:eastAsia="宋体"/>
          <w:color w:val="auto"/>
          <w:sz w:val="28"/>
          <w:szCs w:val="28"/>
          <w:lang w:eastAsia="zh-CN"/>
        </w:rPr>
        <w:t>项不符合要求。该公司根据整改建议进行了整改，整改后全部符合</w:t>
      </w:r>
      <w:r>
        <w:rPr>
          <w:rFonts w:ascii="宋体" w:hAnsi="宋体" w:eastAsia="宋体"/>
          <w:color w:val="auto"/>
          <w:sz w:val="28"/>
          <w:szCs w:val="28"/>
        </w:rPr>
        <w:t>要求。</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87" w:name="_Toc32498"/>
      <w:bookmarkStart w:id="188" w:name="bookmark145"/>
      <w:r>
        <w:rPr>
          <w:rFonts w:ascii="楷体_GB2312" w:hAnsi="Times New Roman" w:eastAsia="楷体_GB2312" w:cs="Times New Roman"/>
          <w:bCs/>
          <w:color w:val="auto"/>
          <w:kern w:val="2"/>
          <w:sz w:val="32"/>
          <w:lang w:val="en-US" w:eastAsia="zh-CN" w:bidi="ar-SA"/>
        </w:rPr>
        <w:t>附件2.2事故树分析法评价法</w:t>
      </w:r>
      <w:bookmarkEnd w:id="187"/>
      <w:bookmarkEnd w:id="188"/>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该公司最主要的危险是火灾爆炸危险。对此，采用事故树分析法对</w:t>
      </w:r>
      <w:r>
        <w:rPr>
          <w:rFonts w:hint="eastAsia" w:ascii="宋体" w:hAnsi="宋体" w:eastAsia="宋体"/>
          <w:color w:val="auto"/>
          <w:sz w:val="28"/>
          <w:szCs w:val="28"/>
          <w:lang w:eastAsia="zh-CN"/>
        </w:rPr>
        <w:t>厂房四（厂房C）</w:t>
      </w:r>
      <w:r>
        <w:rPr>
          <w:rFonts w:ascii="宋体" w:hAnsi="宋体" w:eastAsia="宋体"/>
          <w:color w:val="auto"/>
          <w:sz w:val="28"/>
          <w:szCs w:val="28"/>
        </w:rPr>
        <w:t>的火灾爆炸危险进行评价。</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9" w:name="bookmark146"/>
      <w:r>
        <w:rPr>
          <w:rFonts w:ascii="宋体" w:hAnsi="宋体" w:eastAsia="宋体" w:cs="Times New Roman"/>
          <w:bCs/>
          <w:color w:val="auto"/>
          <w:kern w:val="2"/>
          <w:sz w:val="28"/>
          <w:szCs w:val="28"/>
          <w:lang w:val="en-US" w:eastAsia="zh-CN" w:bidi="ar-SA"/>
        </w:rPr>
        <w:t>2.2.1评价方法简介</w:t>
      </w:r>
      <w:bookmarkEnd w:id="189"/>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事故树分析(FaultTreeAnalysis，缩写FTA)又称故障树分析，是一种演绎的系统安全分析方法。它是从要分析的特定事故或故障开始，层层分析其发生的原因，一直分析到不能再分解为止；再将特定的事故和各层原因(危险因素)之间用逻辑门符号连接起来，得到形象、简洁地表达其逻辑关系(因果关系)的逻辑树图形，即事故树。通过对事故树的化简、计算达到分析和评价的目的。事故树分析能够详细查明系统各种固有的、潜在的危险因素或事故原因，为制定安全技术对策、采取安全管理措施和事故的调查分析提供依据。</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事故树分析采取以下的评价步骤：</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确定分析对象系统和需要分析的对象事件(顶上事件的确定)。通过事故影响分析确定顶上事件(何时、何地、何类)；明确对象系统的边界、分析深度、初始条件、前提条件和不考虑条件，熟悉系统、收集相关资料(工艺、设备、操作、环境、事故等方面的情况和资料)。</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调查原因事故。调查与事故有关的所有直接原因和各种因素(设备故障、人员失误和环境不良因素等)。</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编制事故树。从顶上事件起，逐级分析找出所有原因事件直到最基本的原因事件为止，按其逻辑关系画出事故树。</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事故树定性分析。事故树定性分析是在事故树编制完成后，应用数学方法(主要运用而尔代数法)对事故树中在不同位置重复的基本事件进行简化处理，求出最小径集(不能导致顶上事件发生的最低限度的基本事件的集合)，根据导致事故的最低限度的基本事件，分析确定采取对策措施的重点和先后顺序，从而得出评价结论。</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90" w:name="bookmark147"/>
      <w:r>
        <w:rPr>
          <w:rFonts w:ascii="宋体" w:hAnsi="宋体" w:eastAsia="宋体" w:cs="Times New Roman"/>
          <w:bCs/>
          <w:color w:val="auto"/>
          <w:kern w:val="2"/>
          <w:sz w:val="28"/>
          <w:szCs w:val="28"/>
          <w:lang w:val="en-US" w:eastAsia="zh-CN" w:bidi="ar-SA"/>
        </w:rPr>
        <w:t>2.2.2火灾爆炸事故树分析过程</w:t>
      </w:r>
      <w:bookmarkEnd w:id="190"/>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编制事故树</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本系统的事故为火灾爆炸，根据对系统的研究和现场考察，确定以生产车间火灾爆炸为顶上事故，编制出本系统的事故树，具体见下图。</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各事件的符号所代表的意义见附表2-6。</w:t>
      </w:r>
    </w:p>
    <w:p>
      <w:pPr>
        <w:ind w:firstLine="425" w:firstLineChars="152"/>
        <w:rPr>
          <w:color w:val="auto"/>
        </w:rPr>
      </w:pPr>
      <w:r>
        <w:rPr>
          <w:rFonts w:ascii="宋体" w:hAnsi="宋体" w:eastAsia="宋体"/>
          <w:color w:val="auto"/>
          <w:sz w:val="28"/>
          <w:szCs w:val="28"/>
          <w:lang w:val="en-US" w:eastAsia="zh-CN" w:bidi="ar-SA"/>
        </w:rPr>
        <w:pict>
          <v:rect id="Rectangle 33" o:spid="_x0000_s1026" o:spt="1" style="position:absolute;left:0pt;margin-left:94.95pt;margin-top:256.6pt;height:26.4pt;width:28.8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">
            <v:path/>
            <v:fill on="t" focussize="0,0"/>
            <v:stroke on="f"/>
            <v:imagedata o:title=""/>
            <o:lock v:ext="edit"/>
          </v:rect>
        </w:pict>
      </w:r>
      <w:r>
        <w:rPr>
          <w:rFonts w:ascii="宋体" w:hAnsi="宋体" w:eastAsia="宋体"/>
          <w:color w:val="auto"/>
          <w:sz w:val="28"/>
          <w:szCs w:val="28"/>
          <w:lang w:val="en-US" w:eastAsia="zh-CN" w:bidi="ar-SA"/>
        </w:rPr>
        <w:pict>
          <v:rect id="Rectangle 32" o:spid="_x0000_s1606" o:spt="1" style="position:absolute;left:0pt;margin-left:118.2pt;margin-top:295.25pt;height:26.65pt;width:28.5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31" o:spid="_x0000_s1605" o:spt="1" style="position:absolute;left:0pt;margin-left:128.55pt;margin-top:255.65pt;height:26.4pt;width:28.8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">
            <v:path/>
            <v:fill on="t" focussize="0,0"/>
            <v:stroke on="f"/>
            <v:imagedata o:title=""/>
            <o:lock v:ext="edit"/>
          </v:rect>
        </w:pict>
      </w:r>
      <w:r>
        <w:rPr>
          <w:rFonts w:ascii="宋体" w:hAnsi="宋体" w:eastAsia="宋体"/>
          <w:color w:val="auto"/>
          <w:sz w:val="28"/>
          <w:szCs w:val="28"/>
          <w:lang w:val="en-US" w:eastAsia="zh-CN" w:bidi="ar-SA"/>
        </w:rPr>
        <w:pict>
          <v:rect id="Rectangle 30" o:spid="_x0000_s1604" o:spt="1" style="position:absolute;left:0pt;margin-left:156.85pt;margin-top:297.15pt;height:26.65pt;width:28.5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">
            <v:path/>
            <v:fill on="t" focussize="0,0"/>
            <v:stroke on="f"/>
            <v:imagedata o:title=""/>
            <o:lock v:ext="edit"/>
          </v:rect>
        </w:pict>
      </w:r>
      <w:r>
        <w:rPr>
          <w:rFonts w:ascii="宋体" w:hAnsi="宋体" w:eastAsia="宋体"/>
          <w:color w:val="auto"/>
          <w:sz w:val="28"/>
          <w:szCs w:val="28"/>
          <w:lang w:val="en-US" w:eastAsia="zh-CN" w:bidi="ar-SA"/>
        </w:rPr>
        <w:pict>
          <v:rect id="Rectangle 29" o:spid="_x0000_s1603" o:spt="1" style="position:absolute;left:0pt;margin-left:171.75pt;margin-top:430.35pt;height:30.5pt;width:32.4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28" o:spid="_x0000_s1602" o:spt="1" style="position:absolute;left:0pt;margin-left:237.75pt;margin-top:367.7pt;height:26.65pt;width:28.8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">
            <v:path/>
            <v:fill on="t" focussize="0,0"/>
            <v:stroke on="f"/>
            <v:imagedata o:title=""/>
            <o:lock v:ext="edit"/>
          </v:rect>
        </w:pict>
      </w:r>
      <w:r>
        <w:rPr>
          <w:rFonts w:ascii="宋体" w:hAnsi="宋体" w:eastAsia="宋体"/>
          <w:color w:val="auto"/>
          <w:sz w:val="28"/>
          <w:szCs w:val="28"/>
          <w:lang w:val="en-US" w:eastAsia="zh-CN" w:bidi="ar-SA"/>
        </w:rPr>
        <w:pict>
          <v:rect id="Rectangle 27" o:spid="_x0000_s1601" o:spt="1" style="position:absolute;left:0pt;margin-left:243.25pt;margin-top:430.6pt;height:29.5pt;width:32.6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">
            <v:path/>
            <v:fill on="t" focussize="0,0"/>
            <v:stroke on="f"/>
            <v:imagedata o:title=""/>
            <o:lock v:ext="edit"/>
          </v:rect>
        </w:pict>
      </w:r>
      <w:r>
        <w:rPr>
          <w:rFonts w:ascii="宋体" w:hAnsi="宋体" w:eastAsia="宋体"/>
          <w:color w:val="auto"/>
          <w:sz w:val="28"/>
          <w:szCs w:val="28"/>
          <w:lang w:val="en-US" w:eastAsia="zh-CN" w:bidi="ar-SA"/>
        </w:rPr>
        <w:pict>
          <v:rect id="Rectangle 26" o:spid="_x0000_s1600" o:spt="1" style="position:absolute;left:0pt;margin-left:277.35pt;margin-top:433pt;height:27.6pt;width:31.2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25" o:spid="_x0000_s1599" o:spt="1" style="position:absolute;left:0pt;margin-left:304.95pt;margin-top:261.65pt;height:28.1pt;width:32.1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24" o:spid="_x0000_s1598" o:spt="1" style="position:absolute;left:0pt;margin-left:447.75pt;margin-top:272.9pt;height:28.8pt;width:31.2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">
            <v:path/>
            <v:fill on="t" focussize="0,0"/>
            <v:stroke on="f"/>
            <v:imagedata o:title=""/>
            <o:lock v:ext="edit"/>
          </v:rect>
        </w:pict>
      </w:r>
      <w:r>
        <w:rPr>
          <w:color w:val="auto"/>
          <w:lang w:val="en-US" w:eastAsia="zh-CN" w:bidi="ar-SA"/>
        </w:rPr>
        <w:drawing>
          <wp:inline distT="0" distB="0" distL="0" distR="0">
            <wp:extent cx="5524500" cy="4962525"/>
            <wp:effectExtent l="0" t="0" r="0" b="0"/>
            <wp:docPr id="3" name="图片 3"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age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524500" cy="4962525"/>
                    </a:xfrm>
                    <a:prstGeom prst="rect">
                      <a:avLst/>
                    </a:prstGeom>
                    <a:noFill/>
                    <a:ln>
                      <a:noFill/>
                    </a:ln>
                  </pic:spPr>
                </pic:pic>
              </a:graphicData>
            </a:graphic>
          </wp:inline>
        </w:drawing>
      </w:r>
    </w:p>
    <w:p>
      <w:pPr>
        <w:spacing w:line="600" w:lineRule="exact"/>
        <w:jc w:val="center"/>
        <w:rPr>
          <w:rFonts w:ascii="宋体" w:hAnsi="宋体" w:eastAsia="宋体"/>
          <w:b/>
          <w:color w:val="auto"/>
        </w:rPr>
      </w:pPr>
      <w:r>
        <w:rPr>
          <w:rFonts w:ascii="宋体" w:hAnsi="宋体" w:eastAsia="宋体"/>
          <w:b/>
          <w:color w:val="auto"/>
        </w:rPr>
        <w:t>附图2-3生产车间燃烧爆炸事故树模型图</w:t>
      </w:r>
    </w:p>
    <w:p>
      <w:pPr>
        <w:widowControl/>
        <w:rPr>
          <w:rFonts w:ascii="宋体" w:hAnsi="宋体" w:eastAsia="宋体" w:cs="宋体"/>
          <w:color w:val="auto"/>
          <w:lang w:val="en-US" w:eastAsia="zh-CN" w:bidi="ar-SA"/>
        </w:rPr>
      </w:pPr>
      <w:r>
        <w:rPr>
          <w:rFonts w:ascii="宋体" w:hAnsi="宋体" w:eastAsia="宋体" w:cs="宋体"/>
          <w:color w:val="auto"/>
          <w:lang w:val="en-US" w:eastAsia="zh-CN" w:bidi="ar-SA"/>
        </w:rPr>
        <w:drawing>
          <wp:inline distT="0" distB="0" distL="0" distR="0">
            <wp:extent cx="5457825" cy="2228850"/>
            <wp:effectExtent l="0" t="0" r="9525" b="0"/>
            <wp:docPr id="19" name="图片 19" descr="C:\Users\Administrator\AppData\Roaming\Tencent\Users\476517090\QQ\WinTemp\RichOle\JDU1CA92DISOS9N(BBM0B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AppData\Roaming\Tencent\Users\476517090\QQ\WinTemp\RichOle\JDU1CA92DISOS9N(BBM0B4G.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457825" cy="2228850"/>
                    </a:xfrm>
                    <a:prstGeom prst="rect">
                      <a:avLst/>
                    </a:prstGeom>
                    <a:noFill/>
                    <a:ln>
                      <a:noFill/>
                    </a:ln>
                  </pic:spPr>
                </pic:pic>
              </a:graphicData>
            </a:graphic>
          </wp:inline>
        </w:drawing>
      </w:r>
    </w:p>
    <w:p>
      <w:pPr>
        <w:spacing w:line="600" w:lineRule="exact"/>
        <w:jc w:val="center"/>
        <w:rPr>
          <w:rFonts w:ascii="宋体" w:hAnsi="宋体" w:eastAsia="PMingLiU"/>
          <w:b/>
          <w:color w:val="auto"/>
        </w:rPr>
      </w:pPr>
      <w:r>
        <w:rPr>
          <w:rFonts w:ascii="宋体" w:hAnsi="宋体" w:eastAsia="宋体"/>
          <w:b/>
          <w:color w:val="auto"/>
        </w:rPr>
        <w:t>附表2-</w:t>
      </w:r>
      <w:r>
        <w:rPr>
          <w:rFonts w:hint="eastAsia" w:ascii="宋体" w:hAnsi="宋体" w:eastAsia="宋体"/>
          <w:b/>
          <w:color w:val="auto"/>
          <w:lang w:eastAsia="zh-CN"/>
        </w:rPr>
        <w:t>9</w:t>
      </w:r>
      <w:r>
        <w:rPr>
          <w:rFonts w:ascii="宋体" w:hAnsi="宋体" w:eastAsia="宋体"/>
          <w:b/>
          <w:color w:val="auto"/>
        </w:rPr>
        <w:t>生产车间火灾爆炸事故树符号含义</w:t>
      </w:r>
    </w:p>
    <w:tbl>
      <w:tblPr>
        <w:tblStyle w:val="46"/>
        <w:tblW w:w="939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044"/>
        <w:gridCol w:w="3365"/>
        <w:gridCol w:w="947"/>
        <w:gridCol w:w="403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T</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生产车间发生燃烧爆炸事故</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A</w:t>
            </w:r>
            <w:r>
              <w:rPr>
                <w:rFonts w:hint="eastAsia" w:ascii="宋体" w:hAnsi="宋体" w:eastAsia="宋体"/>
                <w:color w:val="auto"/>
                <w:kern w:val="2"/>
                <w:sz w:val="21"/>
                <w:szCs w:val="21"/>
                <w:vertAlign w:val="subscript"/>
              </w:rPr>
              <w:t>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火源</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A</w:t>
            </w:r>
            <w:r>
              <w:rPr>
                <w:rFonts w:hint="eastAsia" w:ascii="宋体" w:hAnsi="宋体" w:eastAsia="宋体"/>
                <w:color w:val="auto"/>
                <w:kern w:val="2"/>
                <w:sz w:val="21"/>
                <w:szCs w:val="21"/>
                <w:vertAlign w:val="subscript"/>
              </w:rPr>
              <w:t>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挥发的蒸气与空气达到爆炸极限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明火</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电火花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3</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撞击火花</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4</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静电火花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5</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高温物体或高温表面</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6</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物体自燃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7</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雷击火花</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B</w:t>
            </w:r>
            <w:r>
              <w:rPr>
                <w:rFonts w:hint="eastAsia" w:ascii="宋体" w:hAnsi="宋体" w:eastAsia="宋体"/>
                <w:color w:val="auto"/>
                <w:kern w:val="2"/>
                <w:sz w:val="21"/>
                <w:szCs w:val="21"/>
                <w:vertAlign w:val="subscript"/>
              </w:rPr>
              <w:t>8</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爆炸性混合物发生泄漏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C</w:t>
            </w:r>
            <w:r>
              <w:rPr>
                <w:rFonts w:hint="eastAsia" w:ascii="宋体" w:hAnsi="宋体" w:eastAsia="宋体"/>
                <w:color w:val="auto"/>
                <w:kern w:val="2"/>
                <w:sz w:val="21"/>
                <w:szCs w:val="21"/>
                <w:vertAlign w:val="subscript"/>
              </w:rPr>
              <w:t>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人体静电放电</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C</w:t>
            </w:r>
            <w:r>
              <w:rPr>
                <w:rFonts w:hint="eastAsia" w:ascii="宋体" w:hAnsi="宋体" w:eastAsia="宋体"/>
                <w:color w:val="auto"/>
                <w:kern w:val="2"/>
                <w:sz w:val="21"/>
                <w:szCs w:val="21"/>
                <w:vertAlign w:val="subscript"/>
              </w:rPr>
              <w:t>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设备静电放电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C</w:t>
            </w:r>
            <w:r>
              <w:rPr>
                <w:rFonts w:hint="eastAsia" w:ascii="宋体" w:hAnsi="宋体" w:eastAsia="宋体"/>
                <w:color w:val="auto"/>
                <w:kern w:val="2"/>
                <w:sz w:val="21"/>
                <w:szCs w:val="21"/>
                <w:vertAlign w:val="subscript"/>
              </w:rPr>
              <w:t>3</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避雷装置失效</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D</w:t>
            </w:r>
            <w:r>
              <w:rPr>
                <w:rFonts w:hint="eastAsia" w:ascii="宋体" w:hAnsi="宋体" w:eastAsia="宋体"/>
                <w:color w:val="auto"/>
                <w:kern w:val="2"/>
                <w:sz w:val="21"/>
                <w:szCs w:val="21"/>
                <w:vertAlign w:val="subscript"/>
              </w:rPr>
              <w:t>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静电积累</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D</w:t>
            </w:r>
            <w:r>
              <w:rPr>
                <w:rFonts w:hint="eastAsia" w:ascii="宋体" w:hAnsi="宋体" w:eastAsia="宋体"/>
                <w:color w:val="auto"/>
                <w:kern w:val="2"/>
                <w:sz w:val="21"/>
                <w:szCs w:val="21"/>
                <w:vertAlign w:val="subscript"/>
              </w:rPr>
              <w:t>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接地不良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D</w:t>
            </w:r>
            <w:r>
              <w:rPr>
                <w:rFonts w:hint="eastAsia" w:ascii="宋体" w:hAnsi="宋体" w:eastAsia="宋体"/>
                <w:color w:val="auto"/>
                <w:kern w:val="2"/>
                <w:sz w:val="21"/>
                <w:szCs w:val="21"/>
                <w:vertAlign w:val="subscript"/>
              </w:rPr>
              <w:t>3</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避雷装置故障</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生产车间内吸烟</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危险区动火</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3</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电气设施不防爆</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4</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防爆电器损坏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5</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物料桶撞击</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6</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使用易发火工具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7</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穿有铁钉的鞋操作</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8</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操作中与导体接近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9</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化纤品与人体摩擦</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10</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液体流速高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流体输送管道内壁粗糙</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液体冲击金属容器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13</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飞溅出的液体与空气摩擦</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14</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没有设置静电接地装置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15</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接地电阻不符合要求</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16</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静电接地线损坏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17</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雷击</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18</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没有安装避雷设施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19</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避雷装置设计有缺陷</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20</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防雷接地电阻超标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21</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避雷装置损坏</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22</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机械设备表面温度过高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23</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检修中使用棉布擦洗</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24</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棉布自燃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25</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通风不良</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26</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密封不良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44"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27</w:t>
            </w:r>
          </w:p>
        </w:tc>
        <w:tc>
          <w:tcPr>
            <w:tcW w:w="3365"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装卸方式不当</w:t>
            </w:r>
          </w:p>
        </w:tc>
        <w:tc>
          <w:tcPr>
            <w:tcW w:w="94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vertAlign w:val="subscript"/>
              </w:rPr>
            </w:pPr>
            <w:r>
              <w:rPr>
                <w:rFonts w:hint="eastAsia" w:ascii="宋体" w:hAnsi="宋体" w:eastAsia="宋体"/>
                <w:color w:val="auto"/>
                <w:kern w:val="2"/>
                <w:sz w:val="21"/>
                <w:szCs w:val="21"/>
              </w:rPr>
              <w:t>X</w:t>
            </w:r>
            <w:r>
              <w:rPr>
                <w:rFonts w:hint="eastAsia" w:ascii="宋体" w:hAnsi="宋体" w:eastAsia="宋体"/>
                <w:color w:val="auto"/>
                <w:kern w:val="2"/>
                <w:sz w:val="21"/>
                <w:szCs w:val="21"/>
                <w:vertAlign w:val="subscript"/>
              </w:rPr>
              <w:t>28</w:t>
            </w:r>
          </w:p>
        </w:tc>
        <w:tc>
          <w:tcPr>
            <w:tcW w:w="4038"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反应釜敞开</w:t>
            </w:r>
          </w:p>
        </w:tc>
      </w:tr>
    </w:tbl>
    <w:p>
      <w:pPr>
        <w:spacing w:line="560" w:lineRule="exact"/>
        <w:ind w:firstLine="560" w:firstLineChars="200"/>
        <w:rPr>
          <w:rFonts w:ascii="宋体" w:hAnsi="宋体" w:eastAsia="宋体"/>
          <w:color w:val="auto"/>
          <w:kern w:val="28"/>
          <w:sz w:val="28"/>
          <w:szCs w:val="28"/>
        </w:rPr>
      </w:pPr>
      <w:r>
        <w:rPr>
          <w:rFonts w:hint="eastAsia" w:ascii="宋体" w:hAnsi="宋体" w:eastAsia="宋体"/>
          <w:color w:val="auto"/>
          <w:kern w:val="28"/>
          <w:sz w:val="28"/>
          <w:szCs w:val="28"/>
        </w:rPr>
        <w:t>2)事故树定性分析</w:t>
      </w:r>
    </w:p>
    <w:p>
      <w:pPr>
        <w:spacing w:line="560" w:lineRule="exact"/>
        <w:ind w:firstLine="560" w:firstLineChars="200"/>
        <w:rPr>
          <w:rFonts w:ascii="宋体" w:hAnsi="宋体" w:eastAsia="宋体"/>
          <w:color w:val="auto"/>
          <w:kern w:val="28"/>
          <w:sz w:val="28"/>
          <w:szCs w:val="28"/>
        </w:rPr>
      </w:pPr>
      <w:r>
        <w:rPr>
          <w:rFonts w:hint="eastAsia" w:ascii="宋体" w:hAnsi="宋体" w:eastAsia="宋体"/>
          <w:color w:val="auto"/>
          <w:kern w:val="28"/>
          <w:sz w:val="28"/>
          <w:szCs w:val="28"/>
        </w:rPr>
        <w:t>①求最小径集</w:t>
      </w:r>
    </w:p>
    <w:p>
      <w:pPr>
        <w:spacing w:line="560" w:lineRule="exact"/>
        <w:ind w:firstLine="560" w:firstLineChars="200"/>
        <w:rPr>
          <w:rFonts w:ascii="宋体" w:hAnsi="宋体" w:eastAsia="宋体"/>
          <w:color w:val="auto"/>
          <w:kern w:val="28"/>
          <w:sz w:val="28"/>
          <w:szCs w:val="28"/>
        </w:rPr>
      </w:pPr>
      <w:r>
        <w:rPr>
          <w:rFonts w:hint="eastAsia" w:ascii="宋体" w:hAnsi="宋体" w:eastAsia="宋体"/>
          <w:color w:val="auto"/>
          <w:kern w:val="28"/>
          <w:sz w:val="28"/>
          <w:szCs w:val="28"/>
        </w:rPr>
        <w:t>最小割集是能导致顶上事件发生的最低限度的基本事件的集合，即割集中作一基本事件不发生，顶上事件就不会发生；最小径集是指在事故树中凡是不能导致顶上事件发生的最低限度的基本事件的集合，也就是说，在最小径集中，去掉任何一个基本事件，便不能保证一定不发生事故。通过分析可知，图6-1中所示事故树最小割集的个数远远多于其成功树的最小径集的个数，从最小径集入手分析较为方便，把该事故树转化为成功树，其结构函数式如下：</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rPr>
        <w:t>T'=A</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'+A</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'C</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'C</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'+C</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')(D</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'+D</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'D</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从而得到事故树的最小径集</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②结构重要度分析</w:t>
      </w:r>
    </w:p>
    <w:p>
      <w:pPr>
        <w:spacing w:line="560" w:lineRule="exact"/>
        <w:ind w:firstLine="300" w:firstLineChars="94"/>
        <w:rPr>
          <w:rFonts w:ascii="宋体" w:hAnsi="宋体" w:eastAsia="宋体"/>
          <w:color w:val="auto"/>
          <w:spacing w:val="20"/>
          <w:sz w:val="28"/>
          <w:szCs w:val="28"/>
        </w:rPr>
      </w:pPr>
      <w:r>
        <w:rPr>
          <w:rFonts w:ascii="宋体" w:hAnsi="宋体" w:eastAsia="宋体"/>
          <w:color w:val="auto"/>
          <w:spacing w:val="20"/>
          <w:sz w:val="28"/>
          <w:szCs w:val="28"/>
        </w:rPr>
        <w:t>A</w:t>
      </w:r>
      <w:r>
        <w:rPr>
          <w:rFonts w:hint="eastAsia" w:ascii="宋体" w:hAnsi="宋体" w:eastAsia="宋体"/>
          <w:color w:val="auto"/>
          <w:spacing w:val="20"/>
          <w:sz w:val="28"/>
          <w:szCs w:val="28"/>
          <w:lang w:eastAsia="zh-CN"/>
        </w:rPr>
        <w:t>、</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'是单事件最小径集，所以I=(25)最大</w:t>
      </w:r>
    </w:p>
    <w:p>
      <w:pPr>
        <w:spacing w:line="560" w:lineRule="exact"/>
        <w:ind w:firstLine="300" w:firstLineChars="94"/>
        <w:rPr>
          <w:rFonts w:ascii="宋体" w:hAnsi="宋体" w:eastAsia="宋体"/>
          <w:color w:val="auto"/>
          <w:spacing w:val="20"/>
          <w:sz w:val="28"/>
          <w:szCs w:val="28"/>
        </w:rPr>
      </w:pPr>
      <w:r>
        <w:rPr>
          <w:rFonts w:ascii="宋体" w:hAnsi="宋体" w:eastAsia="宋体"/>
          <w:color w:val="auto"/>
          <w:spacing w:val="20"/>
          <w:sz w:val="28"/>
          <w:szCs w:val="28"/>
        </w:rPr>
        <w:t>B</w:t>
      </w:r>
      <w:r>
        <w:rPr>
          <w:rFonts w:hint="eastAsia" w:ascii="宋体" w:hAnsi="宋体" w:eastAsia="宋体"/>
          <w:color w:val="auto"/>
          <w:spacing w:val="20"/>
          <w:sz w:val="28"/>
          <w:szCs w:val="28"/>
        </w:rPr>
        <w:t>、I(1)=I(2)=I(3)=I(4)=I(5)=I(6)=I(7)=I(22)</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lang w:eastAsia="zh-CN"/>
        </w:rPr>
        <w:t>C</w:t>
      </w:r>
      <w:r>
        <w:rPr>
          <w:rFonts w:hint="eastAsia" w:ascii="宋体" w:hAnsi="宋体" w:eastAsia="宋体"/>
          <w:color w:val="auto"/>
          <w:spacing w:val="20"/>
          <w:sz w:val="28"/>
          <w:szCs w:val="28"/>
        </w:rPr>
        <w:t>、I(10)=I(11)=I(12)=I(13)</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lang w:eastAsia="zh-CN"/>
        </w:rPr>
        <w:t>D</w:t>
      </w:r>
      <w:r>
        <w:rPr>
          <w:rFonts w:hint="eastAsia" w:ascii="宋体" w:hAnsi="宋体" w:eastAsia="宋体"/>
          <w:color w:val="auto"/>
          <w:spacing w:val="20"/>
          <w:sz w:val="28"/>
          <w:szCs w:val="28"/>
        </w:rPr>
        <w:t>、I(14)=I(15)=I(16)</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lang w:eastAsia="zh-CN"/>
        </w:rPr>
        <w:t>E</w:t>
      </w:r>
      <w:r>
        <w:rPr>
          <w:rFonts w:hint="eastAsia" w:ascii="宋体" w:hAnsi="宋体" w:eastAsia="宋体"/>
          <w:color w:val="auto"/>
          <w:spacing w:val="20"/>
          <w:sz w:val="28"/>
          <w:szCs w:val="28"/>
        </w:rPr>
        <w:t>、I(18)=I(19)=I(20)=I(21)</w:t>
      </w:r>
    </w:p>
    <w:p>
      <w:pPr>
        <w:spacing w:line="560" w:lineRule="exact"/>
        <w:ind w:firstLine="300" w:firstLineChars="94"/>
        <w:rPr>
          <w:rFonts w:ascii="宋体" w:hAnsi="宋体" w:eastAsia="宋体"/>
          <w:color w:val="auto"/>
          <w:spacing w:val="20"/>
          <w:sz w:val="28"/>
          <w:szCs w:val="28"/>
        </w:rPr>
      </w:pPr>
      <w:r>
        <w:rPr>
          <w:rFonts w:ascii="宋体" w:hAnsi="宋体" w:eastAsia="宋体"/>
          <w:color w:val="auto"/>
          <w:spacing w:val="20"/>
          <w:sz w:val="28"/>
          <w:szCs w:val="28"/>
        </w:rPr>
        <w:t>F</w:t>
      </w:r>
      <w:r>
        <w:rPr>
          <w:rFonts w:hint="eastAsia" w:ascii="宋体" w:hAnsi="宋体" w:eastAsia="宋体"/>
          <w:color w:val="auto"/>
          <w:spacing w:val="20"/>
          <w:sz w:val="28"/>
          <w:szCs w:val="28"/>
        </w:rPr>
        <w:t>、I(26)=I(27)=I(28)</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因此，得到基本事件重要顺序为：</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I(25)&gt;I(1)=I(2)=I(3)=I(4)=I(5)=I(6)=I(7)=I(22)</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&gt;I(17)&gt;I(14)=I(15)=I(16)&gt;I(8)=I(9)=I(23)=I(24)</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&gt;I(10)=I(11)=I(12)=I(13)&gt;I(18)=I(19)=I(20)=I(21)</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&gt;I(26)=I(27)=I(28)</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2.2.3事故树分析结论</w:t>
      </w:r>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由事故树分析可知：</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1</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可燃液体的蒸气浓度达到爆炸极限是生产车间发生燃烧爆炸事故的最重要条件，虽然设置有强制通风，但在通风不良或者是可燃气体报警装置失效的时候还是比较容易使可燃液体蒸气浓度达到爆炸极限，这时，一旦遇到明火、热源就有可能导致火灾爆炸事故。</w:t>
      </w:r>
    </w:p>
    <w:p>
      <w:pPr>
        <w:spacing w:line="560" w:lineRule="exact"/>
        <w:ind w:firstLine="320" w:firstLineChars="100"/>
        <w:rPr>
          <w:rFonts w:ascii="宋体" w:hAnsi="宋体" w:eastAsia="宋体"/>
          <w:color w:val="auto"/>
          <w:spacing w:val="20"/>
          <w:sz w:val="28"/>
          <w:szCs w:val="28"/>
        </w:rPr>
      </w:pPr>
      <w:bookmarkStart w:id="191" w:name="bookmark148"/>
      <w:r>
        <w:rPr>
          <w:rFonts w:ascii="宋体" w:hAnsi="宋体" w:eastAsia="PMingLiU"/>
          <w:color w:val="auto"/>
          <w:spacing w:val="20"/>
          <w:sz w:val="28"/>
          <w:szCs w:val="28"/>
        </w:rPr>
        <w:t>2</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加强生产车间的安全管理，严格控制火源，严禁吸烟和动用明火，防止铁器撞击及静电火花的产生，设备检修后使用过的棉布等物品要妥善处理，不能随意丢弃，车间内电气装置要符合防火防爆要求。</w:t>
      </w:r>
      <w:bookmarkEnd w:id="191"/>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3</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车间内操作人员不能穿带有铁钉的鞋子作业，不能穿化纤衣服。</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4</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经常检查防静电接地是否完好，易燃液体流速不要过快，防止产生静电。</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5</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搅拌缸密封在防止燃爆中具有重要作用，生产过程中要严格遵守安全操作规程。</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6</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从事故树分析可以看出，导致生产车间燃爆的因素虽然很多，但只要严格执行安全管理制度和安全操作规程，并采取相应技术措施，生产车间燃烧爆炸是可以预防的。</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92" w:name="_Toc29563"/>
      <w:bookmarkStart w:id="193" w:name="bookmark149"/>
      <w:r>
        <w:rPr>
          <w:rFonts w:ascii="楷体_GB2312" w:hAnsi="Times New Roman" w:eastAsia="楷体_GB2312" w:cs="Times New Roman"/>
          <w:bCs/>
          <w:color w:val="auto"/>
          <w:kern w:val="2"/>
          <w:sz w:val="32"/>
          <w:lang w:val="en-US" w:eastAsia="zh-CN" w:bidi="ar-SA"/>
        </w:rPr>
        <w:t>附件2.3道化学火灾爆炸指数评价法</w:t>
      </w:r>
      <w:bookmarkEnd w:id="192"/>
      <w:bookmarkEnd w:id="193"/>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由危险危害因素辨识的结果可知，企业生产、储存危险化学品的过程中，其主要危险为火灾爆炸，而产生火灾爆炸的原因涉及很多方面。本章根据该公司的生产工艺及储存危险化学品设施的具体情况，采用道化学火灾爆炸危险指数法预测有机溶剂火灾爆炸事故发生的后果。</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94" w:name="bookmark150"/>
      <w:r>
        <w:rPr>
          <w:rFonts w:ascii="宋体" w:hAnsi="宋体" w:eastAsia="宋体" w:cs="Times New Roman"/>
          <w:bCs/>
          <w:color w:val="auto"/>
          <w:kern w:val="2"/>
          <w:sz w:val="28"/>
          <w:szCs w:val="28"/>
          <w:lang w:val="en-US" w:eastAsia="zh-CN" w:bidi="ar-SA"/>
        </w:rPr>
        <w:t>2.3.1方法简介及评价程序</w:t>
      </w:r>
      <w:bookmarkEnd w:id="194"/>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火灾、爆炸危险指数法是用于评估特定工艺过程中的最大潜在危险性的一种工具，可使人们预测事故可能导致的实际危害及停产损失。并通过火灾、爆炸危险分析，提出相关措施，为该公司提供管理决策依据。</w:t>
      </w:r>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火灾、爆炸危险指数法评价程序如下：</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1</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确定评价单元</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2</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确定单元物质系数(MF)</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3</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计算一般工艺危险系数(F1)</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4</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计算特殊工艺危险系数(F2)</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5</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求取工艺单元危险系数(F3)</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6</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确定火灾、爆炸指数(F&amp;EI)</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7</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安全措施补偿系数CF</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8</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确定工艺单元周围的暴露面积</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9</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确定危险系数HF</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10</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确定基本最大可能财产损失(基本MPPD)</w:t>
      </w:r>
    </w:p>
    <w:p>
      <w:pPr>
        <w:spacing w:line="560" w:lineRule="exact"/>
        <w:ind w:firstLine="320" w:firstLineChars="100"/>
        <w:rPr>
          <w:rFonts w:ascii="宋体" w:hAnsi="宋体" w:eastAsia="PMingLiU"/>
          <w:color w:val="auto"/>
          <w:spacing w:val="20"/>
          <w:sz w:val="28"/>
          <w:szCs w:val="28"/>
        </w:rPr>
      </w:pPr>
      <w:r>
        <w:rPr>
          <w:rFonts w:ascii="宋体" w:hAnsi="宋体" w:eastAsia="PMingLiU"/>
          <w:color w:val="auto"/>
          <w:spacing w:val="20"/>
          <w:sz w:val="28"/>
          <w:szCs w:val="28"/>
        </w:rPr>
        <w:t>11</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确定实际最大可能财产损失(实际MPPD)</w:t>
      </w:r>
    </w:p>
    <w:p>
      <w:pPr>
        <w:spacing w:line="560" w:lineRule="exact"/>
        <w:ind w:firstLine="320" w:firstLineChars="100"/>
        <w:rPr>
          <w:rFonts w:ascii="宋体" w:hAnsi="宋体" w:eastAsia="PMingLiU"/>
          <w:color w:val="auto"/>
          <w:spacing w:val="20"/>
          <w:sz w:val="28"/>
          <w:szCs w:val="28"/>
        </w:rPr>
      </w:pPr>
    </w:p>
    <w:p>
      <w:pPr>
        <w:spacing w:line="560" w:lineRule="exact"/>
        <w:ind w:firstLine="320" w:firstLineChars="100"/>
        <w:rPr>
          <w:rFonts w:ascii="宋体" w:hAnsi="宋体" w:eastAsia="PMingLiU"/>
          <w:color w:val="auto"/>
          <w:spacing w:val="20"/>
          <w:sz w:val="28"/>
          <w:szCs w:val="28"/>
        </w:rPr>
      </w:pPr>
    </w:p>
    <w:p>
      <w:pPr>
        <w:jc w:val="center"/>
        <w:rPr>
          <w:rFonts w:ascii="宋体" w:hAnsi="宋体" w:eastAsia="PMingLiU"/>
          <w:color w:val="auto"/>
          <w:spacing w:val="20"/>
          <w:sz w:val="28"/>
          <w:szCs w:val="28"/>
        </w:rPr>
      </w:pPr>
      <w:r>
        <w:rPr>
          <w:rFonts w:ascii="宋体" w:hAnsi="宋体" w:eastAsia="PMingLiU"/>
          <w:color w:val="auto"/>
          <w:spacing w:val="20"/>
          <w:sz w:val="28"/>
          <w:szCs w:val="28"/>
          <w:lang w:val="en-US" w:eastAsia="zh-CN" w:bidi="ar-SA"/>
        </w:rPr>
        <w:pict>
          <v:group id="画布 20" o:spid="_x0000_s1597" o:spt="203" style="height:522pt;width:432pt;" coordsize="54864,66294" editas="canvas">
            <o:lock v:ext="edit"/>
            <v:shape id="画布 20" o:spid="_x0000_s1027" o:spt="75" type="#_x0000_t75" style="position:absolute;left:0;top:0;height:66294;width:54864;" filled="f" o:preferrelative="t" stroked="f" coordsize="21600,21600">
              <v:path/>
              <v:fill on="f" focussize="0,0"/>
              <v:stroke on="f" joinstyle="miter"/>
              <v:imagedata o:title=""/>
              <o:lock v:ext="edit" aspectratio="t"/>
            </v:shape>
            <v:group id="Group 935" o:spid="_x0000_s1028" o:spt="203" style="position:absolute;left:1714;top:3905;height:61436;width:50102;" coordsize="9345,10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o:lock v:ext="edit"/>
              <v:rect id="Rectangle 936" o:spid="_x0000_s1029" o:spt="1" style="position:absolute;left:3465;top:0;height:468;width:199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">
                <v:path/>
                <v:fill focussize="0,0"/>
                <v:stroke/>
                <v:imagedata o:title=""/>
                <o:lock v:ext="edit"/>
                <v:textbox>
                  <w:txbxContent>
                    <w:p>
                      <w:pPr>
                        <w:jc w:val="center"/>
                        <w:rPr>
                          <w:sz w:val="18"/>
                          <w:szCs w:val="18"/>
                        </w:rPr>
                      </w:pPr>
                      <w:r>
                        <w:rPr>
                          <w:rFonts w:hint="eastAsia"/>
                          <w:kern w:val="2"/>
                          <w:sz w:val="18"/>
                          <w:szCs w:val="18"/>
                        </w:rPr>
                        <w:t>选取工艺单元</w:t>
                      </w:r>
                    </w:p>
                    <w:p>
                      <w:pPr>
                        <w:jc w:val="both"/>
                        <w:rPr>
                          <w:sz w:val="18"/>
                          <w:szCs w:val="18"/>
                        </w:rPr>
                      </w:pPr>
                      <w:r>
                        <w:rPr>
                          <w:kern w:val="2"/>
                          <w:sz w:val="18"/>
                          <w:szCs w:val="18"/>
                        </w:rPr>
                        <w:t> </w:t>
                      </w:r>
                    </w:p>
                  </w:txbxContent>
                </v:textbox>
              </v:rect>
              <v:rect id="Rectangle 937" o:spid="_x0000_s1030" o:spt="1" style="position:absolute;left:2835;top:826;height:624;width:315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">
                <v:path/>
                <v:fill focussize="0,0"/>
                <v:stroke/>
                <v:imagedata o:title=""/>
                <o:lock v:ext="edit"/>
                <v:textbox>
                  <w:txbxContent>
                    <w:p>
                      <w:pPr>
                        <w:spacing w:line="380" w:lineRule="exact"/>
                        <w:jc w:val="center"/>
                        <w:rPr>
                          <w:sz w:val="18"/>
                          <w:szCs w:val="18"/>
                        </w:rPr>
                      </w:pPr>
                      <w:r>
                        <w:rPr>
                          <w:rFonts w:hint="eastAsia"/>
                          <w:kern w:val="2"/>
                          <w:sz w:val="18"/>
                          <w:szCs w:val="18"/>
                        </w:rPr>
                        <w:t>确定物质系数（</w:t>
                      </w:r>
                      <w:r>
                        <w:rPr>
                          <w:kern w:val="2"/>
                          <w:sz w:val="18"/>
                          <w:szCs w:val="18"/>
                        </w:rPr>
                        <w:t>MF</w:t>
                      </w:r>
                      <w:r>
                        <w:rPr>
                          <w:rFonts w:hint="eastAsia"/>
                          <w:kern w:val="2"/>
                          <w:sz w:val="18"/>
                          <w:szCs w:val="18"/>
                        </w:rPr>
                        <w:t>）</w:t>
                      </w:r>
                    </w:p>
                    <w:p>
                      <w:pPr>
                        <w:jc w:val="both"/>
                        <w:rPr>
                          <w:sz w:val="18"/>
                          <w:szCs w:val="18"/>
                        </w:rPr>
                      </w:pPr>
                      <w:r>
                        <w:rPr>
                          <w:kern w:val="2"/>
                          <w:sz w:val="18"/>
                          <w:szCs w:val="18"/>
                        </w:rPr>
                        <w:t> </w:t>
                      </w:r>
                    </w:p>
                  </w:txbxContent>
                </v:textbox>
              </v:rect>
              <v:rect id="Rectangle 938" o:spid="_x0000_s1031" o:spt="1" style="position:absolute;left:525;top:2143;height:780;width:357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path/>
                <v:fill focussize="0,0"/>
                <v:stroke/>
                <v:imagedata o:title=""/>
                <o:lock v:ext="edit"/>
                <v:textbox>
                  <w:txbxContent>
                    <w:p>
                      <w:pPr>
                        <w:spacing w:line="420" w:lineRule="exact"/>
                        <w:jc w:val="center"/>
                        <w:rPr>
                          <w:sz w:val="18"/>
                          <w:szCs w:val="18"/>
                        </w:rPr>
                      </w:pPr>
                      <w:r>
                        <w:rPr>
                          <w:rFonts w:hint="eastAsia"/>
                          <w:kern w:val="2"/>
                          <w:sz w:val="18"/>
                          <w:szCs w:val="18"/>
                        </w:rPr>
                        <w:t>计算一般工艺危险系数（</w:t>
                      </w:r>
                      <w:r>
                        <w:rPr>
                          <w:kern w:val="2"/>
                          <w:sz w:val="18"/>
                          <w:szCs w:val="18"/>
                        </w:rPr>
                        <w:t>F1</w:t>
                      </w:r>
                      <w:r>
                        <w:rPr>
                          <w:rFonts w:hint="eastAsia"/>
                          <w:kern w:val="2"/>
                          <w:sz w:val="18"/>
                          <w:szCs w:val="18"/>
                        </w:rPr>
                        <w:t>）</w:t>
                      </w:r>
                    </w:p>
                  </w:txbxContent>
                </v:textbox>
              </v:rect>
              <v:rect id="Rectangle 939" o:spid="_x0000_s1032" o:spt="1" style="position:absolute;left:5250;top:2164;height:780;width:336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path/>
                <v:fill focussize="0,0"/>
                <v:stroke/>
                <v:imagedata o:title=""/>
                <o:lock v:ext="edit"/>
                <v:textbox>
                  <w:txbxContent>
                    <w:p>
                      <w:pPr>
                        <w:spacing w:line="420" w:lineRule="exact"/>
                        <w:jc w:val="center"/>
                        <w:rPr>
                          <w:sz w:val="18"/>
                          <w:szCs w:val="18"/>
                        </w:rPr>
                      </w:pPr>
                      <w:r>
                        <w:rPr>
                          <w:rFonts w:hint="eastAsia"/>
                          <w:kern w:val="2"/>
                          <w:sz w:val="18"/>
                          <w:szCs w:val="18"/>
                        </w:rPr>
                        <w:t>计算特殊工艺危险系数（</w:t>
                      </w:r>
                      <w:r>
                        <w:rPr>
                          <w:kern w:val="2"/>
                          <w:sz w:val="18"/>
                          <w:szCs w:val="18"/>
                        </w:rPr>
                        <w:t>F2</w:t>
                      </w:r>
                      <w:r>
                        <w:rPr>
                          <w:rFonts w:hint="eastAsia"/>
                          <w:kern w:val="2"/>
                          <w:sz w:val="18"/>
                          <w:szCs w:val="18"/>
                        </w:rPr>
                        <w:t>）</w:t>
                      </w:r>
                    </w:p>
                  </w:txbxContent>
                </v:textbox>
              </v:rect>
              <v:rect id="Rectangle 940" o:spid="_x0000_s1033" o:spt="1" style="position:absolute;left:2730;top:3436;height:624;width:441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path/>
                <v:fill focussize="0,0"/>
                <v:stroke/>
                <v:imagedata o:title=""/>
                <o:lock v:ext="edit"/>
                <v:textbox>
                  <w:txbxContent>
                    <w:p>
                      <w:pPr>
                        <w:spacing w:line="400" w:lineRule="exact"/>
                        <w:jc w:val="center"/>
                        <w:rPr>
                          <w:sz w:val="18"/>
                          <w:szCs w:val="18"/>
                        </w:rPr>
                      </w:pPr>
                      <w:r>
                        <w:rPr>
                          <w:rFonts w:hint="eastAsia"/>
                          <w:kern w:val="2"/>
                          <w:sz w:val="18"/>
                          <w:szCs w:val="18"/>
                        </w:rPr>
                        <w:t>确定工艺单元危险系数（</w:t>
                      </w:r>
                      <w:r>
                        <w:rPr>
                          <w:kern w:val="2"/>
                          <w:sz w:val="18"/>
                          <w:szCs w:val="18"/>
                        </w:rPr>
                        <w:t>F</w:t>
                      </w:r>
                      <w:r>
                        <w:rPr>
                          <w:kern w:val="2"/>
                          <w:position w:val="-5"/>
                          <w:sz w:val="18"/>
                          <w:szCs w:val="18"/>
                          <w:vertAlign w:val="subscript"/>
                        </w:rPr>
                        <w:t>3</w:t>
                      </w:r>
                      <w:r>
                        <w:rPr>
                          <w:kern w:val="2"/>
                          <w:sz w:val="18"/>
                          <w:szCs w:val="18"/>
                        </w:rPr>
                        <w:t>=F</w:t>
                      </w:r>
                      <w:r>
                        <w:rPr>
                          <w:kern w:val="2"/>
                          <w:position w:val="-5"/>
                          <w:sz w:val="18"/>
                          <w:szCs w:val="18"/>
                          <w:vertAlign w:val="subscript"/>
                        </w:rPr>
                        <w:t>1</w:t>
                      </w:r>
                      <w:r>
                        <w:rPr>
                          <w:rFonts w:hint="eastAsia"/>
                          <w:kern w:val="2"/>
                          <w:sz w:val="18"/>
                          <w:szCs w:val="18"/>
                        </w:rPr>
                        <w:t>×</w:t>
                      </w:r>
                      <w:r>
                        <w:rPr>
                          <w:kern w:val="2"/>
                          <w:sz w:val="18"/>
                          <w:szCs w:val="18"/>
                        </w:rPr>
                        <w:t>F</w:t>
                      </w:r>
                      <w:r>
                        <w:rPr>
                          <w:kern w:val="2"/>
                          <w:position w:val="-5"/>
                          <w:sz w:val="18"/>
                          <w:szCs w:val="18"/>
                          <w:vertAlign w:val="subscript"/>
                        </w:rPr>
                        <w:t>2</w:t>
                      </w:r>
                      <w:r>
                        <w:rPr>
                          <w:rFonts w:hint="eastAsia"/>
                          <w:kern w:val="2"/>
                          <w:sz w:val="18"/>
                          <w:szCs w:val="18"/>
                        </w:rPr>
                        <w:t>）</w:t>
                      </w:r>
                    </w:p>
                    <w:p>
                      <w:pPr>
                        <w:jc w:val="both"/>
                        <w:rPr>
                          <w:sz w:val="18"/>
                          <w:szCs w:val="18"/>
                        </w:rPr>
                      </w:pPr>
                      <w:r>
                        <w:rPr>
                          <w:kern w:val="2"/>
                          <w:sz w:val="18"/>
                          <w:szCs w:val="18"/>
                        </w:rPr>
                        <w:t> </w:t>
                      </w:r>
                    </w:p>
                  </w:txbxContent>
                </v:textbox>
              </v:rect>
              <v:rect id="Rectangle 941" o:spid="_x0000_s1034" o:spt="1" style="position:absolute;left:0;top:4231;height:936;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path/>
                <v:fill focussize="0,0"/>
                <v:stroke/>
                <v:imagedata o:title=""/>
                <o:lock v:ext="edit"/>
                <v:textbox>
                  <w:txbxContent>
                    <w:p>
                      <w:pPr>
                        <w:jc w:val="center"/>
                        <w:rPr>
                          <w:sz w:val="18"/>
                          <w:szCs w:val="18"/>
                        </w:rPr>
                      </w:pPr>
                      <w:r>
                        <w:rPr>
                          <w:rFonts w:hint="eastAsia"/>
                          <w:kern w:val="2"/>
                          <w:sz w:val="18"/>
                          <w:szCs w:val="18"/>
                        </w:rPr>
                        <w:t>计算安全措施补偿系数（</w:t>
                      </w:r>
                      <w:r>
                        <w:rPr>
                          <w:kern w:val="2"/>
                          <w:sz w:val="18"/>
                          <w:szCs w:val="18"/>
                        </w:rPr>
                        <w:t>C=C</w:t>
                      </w:r>
                      <w:r>
                        <w:rPr>
                          <w:kern w:val="2"/>
                          <w:position w:val="-5"/>
                          <w:sz w:val="18"/>
                          <w:szCs w:val="18"/>
                          <w:vertAlign w:val="subscript"/>
                        </w:rPr>
                        <w:t>1</w:t>
                      </w:r>
                      <w:r>
                        <w:rPr>
                          <w:rFonts w:hint="eastAsia"/>
                          <w:kern w:val="2"/>
                          <w:sz w:val="18"/>
                          <w:szCs w:val="18"/>
                        </w:rPr>
                        <w:t>×</w:t>
                      </w:r>
                      <w:r>
                        <w:rPr>
                          <w:kern w:val="2"/>
                          <w:sz w:val="18"/>
                          <w:szCs w:val="18"/>
                        </w:rPr>
                        <w:t>C</w:t>
                      </w:r>
                      <w:r>
                        <w:rPr>
                          <w:kern w:val="2"/>
                          <w:position w:val="-5"/>
                          <w:sz w:val="18"/>
                          <w:szCs w:val="18"/>
                          <w:vertAlign w:val="subscript"/>
                        </w:rPr>
                        <w:t>2</w:t>
                      </w:r>
                      <w:r>
                        <w:rPr>
                          <w:rFonts w:hint="eastAsia"/>
                          <w:kern w:val="2"/>
                          <w:sz w:val="18"/>
                          <w:szCs w:val="18"/>
                        </w:rPr>
                        <w:t>×</w:t>
                      </w:r>
                      <w:r>
                        <w:rPr>
                          <w:kern w:val="2"/>
                          <w:sz w:val="18"/>
                          <w:szCs w:val="18"/>
                        </w:rPr>
                        <w:t>C</w:t>
                      </w:r>
                      <w:r>
                        <w:rPr>
                          <w:kern w:val="2"/>
                          <w:position w:val="-5"/>
                          <w:sz w:val="18"/>
                          <w:szCs w:val="18"/>
                          <w:vertAlign w:val="subscript"/>
                        </w:rPr>
                        <w:t>3</w:t>
                      </w:r>
                      <w:r>
                        <w:rPr>
                          <w:rFonts w:hint="eastAsia"/>
                          <w:kern w:val="2"/>
                          <w:sz w:val="18"/>
                          <w:szCs w:val="18"/>
                        </w:rPr>
                        <w:t>）</w:t>
                      </w:r>
                    </w:p>
                  </w:txbxContent>
                </v:textbox>
              </v:rect>
              <v:rect id="Rectangle 942" o:spid="_x0000_s1035" o:spt="1" style="position:absolute;left:3465;top:4350;height:817;width:315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2SAwgAAANsAAAAPAAAAZHJzL2Rvd25yZXYueG1sRI9Bi8Iw&#10;FITvgv8hPMGbprqy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D2J2SAwgAAANsAAAAPAAAA&#10;AAAAAAAAAAAAAAcCAABkcnMvZG93bnJldi54bWxQSwUGAAAAAAMAAwC3AAAA9gIAAAAA&#10;">
                <v:path/>
                <v:fill focussize="0,0"/>
                <v:stroke/>
                <v:imagedata o:title=""/>
                <o:lock v:ext="edit"/>
                <v:textbox>
                  <w:txbxContent>
                    <w:p>
                      <w:pPr>
                        <w:jc w:val="center"/>
                        <w:rPr>
                          <w:sz w:val="18"/>
                          <w:szCs w:val="18"/>
                        </w:rPr>
                      </w:pPr>
                      <w:r>
                        <w:rPr>
                          <w:rFonts w:hint="eastAsia"/>
                          <w:kern w:val="2"/>
                          <w:sz w:val="18"/>
                          <w:szCs w:val="18"/>
                        </w:rPr>
                        <w:t>确定火灾、爆炸指数</w:t>
                      </w:r>
                    </w:p>
                    <w:p>
                      <w:pPr>
                        <w:jc w:val="center"/>
                        <w:rPr>
                          <w:sz w:val="18"/>
                          <w:szCs w:val="18"/>
                        </w:rPr>
                      </w:pPr>
                      <w:r>
                        <w:rPr>
                          <w:rFonts w:hint="eastAsia"/>
                          <w:kern w:val="2"/>
                          <w:sz w:val="18"/>
                          <w:szCs w:val="18"/>
                        </w:rPr>
                        <w:t>（</w:t>
                      </w:r>
                      <w:r>
                        <w:rPr>
                          <w:kern w:val="2"/>
                          <w:sz w:val="18"/>
                          <w:szCs w:val="18"/>
                        </w:rPr>
                        <w:t>F&amp;EI=F3</w:t>
                      </w:r>
                      <w:r>
                        <w:rPr>
                          <w:rFonts w:hint="eastAsia"/>
                          <w:kern w:val="2"/>
                          <w:sz w:val="18"/>
                          <w:szCs w:val="18"/>
                        </w:rPr>
                        <w:t>×</w:t>
                      </w:r>
                      <w:r>
                        <w:rPr>
                          <w:kern w:val="2"/>
                          <w:sz w:val="18"/>
                          <w:szCs w:val="18"/>
                        </w:rPr>
                        <w:t>MF</w:t>
                      </w:r>
                      <w:r>
                        <w:rPr>
                          <w:rFonts w:hint="eastAsia"/>
                          <w:kern w:val="2"/>
                          <w:sz w:val="18"/>
                          <w:szCs w:val="18"/>
                        </w:rPr>
                        <w:t>）</w:t>
                      </w:r>
                    </w:p>
                  </w:txbxContent>
                </v:textbox>
              </v:rect>
              <v:rect id="Rectangle 943" o:spid="_x0000_s1036" o:spt="1" style="position:absolute;left:3630;top:5443;height:624;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">
                <v:path/>
                <v:fill focussize="0,0"/>
                <v:stroke/>
                <v:imagedata o:title=""/>
                <o:lock v:ext="edit"/>
                <v:textbox>
                  <w:txbxContent>
                    <w:p>
                      <w:pPr>
                        <w:spacing w:line="380" w:lineRule="exact"/>
                        <w:jc w:val="center"/>
                        <w:rPr>
                          <w:sz w:val="18"/>
                          <w:szCs w:val="18"/>
                        </w:rPr>
                      </w:pPr>
                      <w:r>
                        <w:rPr>
                          <w:rFonts w:hint="eastAsia"/>
                          <w:kern w:val="2"/>
                          <w:sz w:val="18"/>
                          <w:szCs w:val="18"/>
                        </w:rPr>
                        <w:t>确定暴露面积</w:t>
                      </w:r>
                    </w:p>
                    <w:p>
                      <w:pPr>
                        <w:jc w:val="both"/>
                        <w:rPr>
                          <w:sz w:val="18"/>
                          <w:szCs w:val="18"/>
                        </w:rPr>
                      </w:pPr>
                      <w:r>
                        <w:rPr>
                          <w:kern w:val="2"/>
                          <w:sz w:val="18"/>
                          <w:szCs w:val="18"/>
                        </w:rPr>
                        <w:t> </w:t>
                      </w:r>
                    </w:p>
                  </w:txbxContent>
                </v:textbox>
              </v:rect>
              <v:rect id="Rectangle 944" o:spid="_x0000_s1037" o:spt="1" style="position:absolute;left:2940;top:6460;height:624;width:483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">
                <v:path/>
                <v:fill focussize="0,0"/>
                <v:stroke/>
                <v:imagedata o:title=""/>
                <o:lock v:ext="edit"/>
                <v:textbox>
                  <w:txbxContent>
                    <w:p>
                      <w:pPr>
                        <w:spacing w:line="380" w:lineRule="exact"/>
                        <w:jc w:val="center"/>
                        <w:rPr>
                          <w:sz w:val="18"/>
                          <w:szCs w:val="18"/>
                        </w:rPr>
                      </w:pPr>
                      <w:r>
                        <w:rPr>
                          <w:rFonts w:hint="eastAsia"/>
                          <w:kern w:val="2"/>
                          <w:sz w:val="18"/>
                          <w:szCs w:val="18"/>
                        </w:rPr>
                        <w:t>确定暴露区域内财产的更换价值</w:t>
                      </w:r>
                    </w:p>
                    <w:p>
                      <w:pPr>
                        <w:jc w:val="both"/>
                        <w:rPr>
                          <w:sz w:val="18"/>
                          <w:szCs w:val="18"/>
                        </w:rPr>
                      </w:pPr>
                      <w:r>
                        <w:rPr>
                          <w:kern w:val="2"/>
                          <w:sz w:val="18"/>
                          <w:szCs w:val="18"/>
                        </w:rPr>
                        <w:t> </w:t>
                      </w:r>
                    </w:p>
                  </w:txbxContent>
                </v:textbox>
              </v:rect>
              <v:rect id="Rectangle 945" o:spid="_x0000_s1038" o:spt="1" style="position:absolute;left:3150;top:7708;height:720;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">
                <v:path/>
                <v:fill focussize="0,0"/>
                <v:stroke/>
                <v:imagedata o:title=""/>
                <o:lock v:ext="edit"/>
                <v:textbox>
                  <w:txbxContent>
                    <w:p>
                      <w:pPr>
                        <w:jc w:val="center"/>
                        <w:rPr>
                          <w:sz w:val="18"/>
                          <w:szCs w:val="18"/>
                        </w:rPr>
                      </w:pPr>
                      <w:r>
                        <w:rPr>
                          <w:rFonts w:hint="eastAsia"/>
                          <w:kern w:val="2"/>
                          <w:sz w:val="18"/>
                          <w:szCs w:val="18"/>
                        </w:rPr>
                        <w:t>确定基本最大可能财产损失</w:t>
                      </w:r>
                      <w:r>
                        <w:rPr>
                          <w:kern w:val="2"/>
                          <w:sz w:val="18"/>
                          <w:szCs w:val="18"/>
                        </w:rPr>
                        <w:t>MPPD</w:t>
                      </w:r>
                    </w:p>
                    <w:p>
                      <w:pPr>
                        <w:jc w:val="both"/>
                        <w:rPr>
                          <w:sz w:val="18"/>
                          <w:szCs w:val="18"/>
                        </w:rPr>
                      </w:pPr>
                      <w:r>
                        <w:rPr>
                          <w:kern w:val="2"/>
                          <w:sz w:val="18"/>
                          <w:szCs w:val="18"/>
                        </w:rPr>
                        <w:t> </w:t>
                      </w:r>
                    </w:p>
                  </w:txbxContent>
                </v:textbox>
              </v:rect>
              <v:rect id="Rectangle 946" o:spid="_x0000_s1039" o:spt="1" style="position:absolute;left:6720;top:7708;height:551;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">
                <v:path/>
                <v:fill focussize="0,0"/>
                <v:stroke/>
                <v:imagedata o:title=""/>
                <o:lock v:ext="edit"/>
                <v:textbox>
                  <w:txbxContent>
                    <w:p>
                      <w:pPr>
                        <w:jc w:val="center"/>
                        <w:rPr>
                          <w:sz w:val="18"/>
                          <w:szCs w:val="18"/>
                        </w:rPr>
                      </w:pPr>
                      <w:r>
                        <w:rPr>
                          <w:rFonts w:hint="eastAsia"/>
                          <w:kern w:val="2"/>
                          <w:sz w:val="18"/>
                          <w:szCs w:val="18"/>
                        </w:rPr>
                        <w:t>确定危险系数</w:t>
                      </w:r>
                    </w:p>
                  </w:txbxContent>
                </v:textbox>
              </v:rect>
              <v:rect id="Rectangle 947" o:spid="_x0000_s1040" o:spt="1" style="position:absolute;left:3255;top:8956;height:720;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sexAAAANsAAAAPAAAAZHJzL2Rvd25yZXYueG1sRI9Ba8JA&#10;FITvBf/D8oTemo1WSh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Bgmyx7EAAAA2wAAAA8A&#10;AAAAAAAAAAAAAAAABwIAAGRycy9kb3ducmV2LnhtbFBLBQYAAAAAAwADALcAAAD4AgAAAAA=&#10;">
                <v:path/>
                <v:fill focussize="0,0"/>
                <v:stroke/>
                <v:imagedata o:title=""/>
                <o:lock v:ext="edit"/>
                <v:textbox>
                  <w:txbxContent>
                    <w:p>
                      <w:pPr>
                        <w:jc w:val="center"/>
                        <w:rPr>
                          <w:sz w:val="18"/>
                          <w:szCs w:val="18"/>
                        </w:rPr>
                      </w:pPr>
                      <w:r>
                        <w:rPr>
                          <w:rFonts w:hint="eastAsia"/>
                          <w:kern w:val="2"/>
                          <w:sz w:val="18"/>
                          <w:szCs w:val="18"/>
                        </w:rPr>
                        <w:t>确定实际最大可能财产损失</w:t>
                      </w:r>
                      <w:r>
                        <w:rPr>
                          <w:kern w:val="2"/>
                          <w:sz w:val="18"/>
                          <w:szCs w:val="18"/>
                        </w:rPr>
                        <w:t>MPPD</w:t>
                      </w:r>
                    </w:p>
                    <w:p>
                      <w:pPr>
                        <w:jc w:val="both"/>
                        <w:rPr>
                          <w:sz w:val="18"/>
                          <w:szCs w:val="18"/>
                        </w:rPr>
                      </w:pPr>
                      <w:r>
                        <w:rPr>
                          <w:kern w:val="2"/>
                          <w:sz w:val="18"/>
                          <w:szCs w:val="18"/>
                        </w:rPr>
                        <w:t> </w:t>
                      </w:r>
                    </w:p>
                  </w:txbxContent>
                </v:textbox>
              </v:rect>
              <v:rect id="Rectangle 948" o:spid="_x0000_s1041" o:spt="1" style="position:absolute;left:3045;top:10204;height:780;width:294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fRewQAAANsAAAAPAAAAZHJzL2Rvd25yZXYueG1sRE89b8Iw&#10;EN0r8R+sQ2IrDlRU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AzF9F7BAAAA2wAAAA8AAAAA&#10;AAAAAAAAAAAABwIAAGRycy9kb3ducmV2LnhtbFBLBQYAAAAAAwADALcAAAD1AgAAAAA=&#10;">
                <v:path/>
                <v:fill focussize="0,0"/>
                <v:stroke/>
                <v:imagedata o:title=""/>
                <o:lock v:ext="edit"/>
                <v:textbox>
                  <w:txbxContent>
                    <w:p>
                      <w:pPr>
                        <w:jc w:val="center"/>
                        <w:rPr>
                          <w:sz w:val="18"/>
                          <w:szCs w:val="18"/>
                        </w:rPr>
                      </w:pPr>
                      <w:r>
                        <w:rPr>
                          <w:rFonts w:hint="eastAsia"/>
                          <w:kern w:val="2"/>
                          <w:sz w:val="18"/>
                          <w:szCs w:val="18"/>
                        </w:rPr>
                        <w:t>确定基本最大可能工作日损失</w:t>
                      </w:r>
                      <w:r>
                        <w:rPr>
                          <w:kern w:val="2"/>
                          <w:sz w:val="18"/>
                          <w:szCs w:val="18"/>
                        </w:rPr>
                        <w:t>MPDO</w:t>
                      </w:r>
                    </w:p>
                  </w:txbxContent>
                </v:textbox>
              </v:rect>
              <v:rect id="Rectangle 949" o:spid="_x0000_s1042" o:spt="1" style="position:absolute;left:6720;top:10270;height:624;width:262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VHFxAAAANsAAAAPAAAAZHJzL2Rvd25yZXYueG1sRI9Ba8JA&#10;FITvhf6H5RV6azZalD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GOJUcXEAAAA2wAAAA8A&#10;AAAAAAAAAAAAAAAABwIAAGRycy9kb3ducmV2LnhtbFBLBQYAAAAAAwADALcAAAD4AgAAAAA=&#10;">
                <v:path/>
                <v:fill focussize="0,0"/>
                <v:stroke/>
                <v:imagedata o:title=""/>
                <o:lock v:ext="edit"/>
                <v:textbox>
                  <w:txbxContent>
                    <w:p>
                      <w:pPr>
                        <w:jc w:val="center"/>
                        <w:rPr>
                          <w:sz w:val="18"/>
                          <w:szCs w:val="18"/>
                        </w:rPr>
                      </w:pPr>
                      <w:r>
                        <w:rPr>
                          <w:rFonts w:hint="eastAsia"/>
                          <w:kern w:val="2"/>
                          <w:sz w:val="18"/>
                          <w:szCs w:val="18"/>
                        </w:rPr>
                        <w:t>确定停产损失</w:t>
                      </w:r>
                      <w:r>
                        <w:rPr>
                          <w:kern w:val="2"/>
                          <w:sz w:val="18"/>
                          <w:szCs w:val="18"/>
                        </w:rPr>
                        <w:t>BI</w:t>
                      </w:r>
                    </w:p>
                  </w:txbxContent>
                </v:textbox>
              </v:rect>
              <v:line id="Line 950" o:spid="_x0000_s1043" o:spt="20" style="position:absolute;left:4305;top:468;height:38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oQxAAAANsAAAAPAAAAZHJzL2Rvd25yZXYueG1sRI9PawIx&#10;FMTvhX6H8ArealbB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DtNihDEAAAA2wAAAA8A&#10;AAAAAAAAAAAAAAAABwIAAGRycy9kb3ducmV2LnhtbFBLBQYAAAAAAwADALcAAAD4AgAAAAA=&#10;">
                <v:path arrowok="t"/>
                <v:fill focussize="0,0"/>
                <v:stroke endarrow="block"/>
                <v:imagedata o:title=""/>
                <o:lock v:ext="edit"/>
              </v:line>
              <v:line id="Line 951" o:spid="_x0000_s1044" o:spt="20" style="position:absolute;left:2520;top:1816;height:0;width:462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Sw/xgAAANsAAAAPAAAAZHJzL2Rvd25yZXYueG1sRI9Pa8JA&#10;FMTvgt9heUJvurHS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3ZksP8YAAADbAAAA&#10;DwAAAAAAAAAAAAAAAAAHAgAAZHJzL2Rvd25yZXYueG1sUEsFBgAAAAADAAMAtwAAAPoCAAAAAA==&#10;">
                <v:path arrowok="t"/>
                <v:fill focussize="0,0"/>
                <v:stroke/>
                <v:imagedata o:title=""/>
                <o:lock v:ext="edit"/>
              </v:line>
              <v:line id="Line 952" o:spid="_x0000_s1045" o:spt="20" style="position:absolute;left:2520;top:1816;height:369;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Lf/xAAAANsAAAAPAAAAZHJzL2Rvd25yZXYueG1sRI9BawIx&#10;FITvQv9DeIXeNKvU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vot//EAAAA2wAAAA8A&#10;AAAAAAAAAAAAAAAABwIAAGRycy9kb3ducmV2LnhtbFBLBQYAAAAAAwADALcAAAD4AgAAAAA=&#10;">
                <v:path arrowok="t"/>
                <v:fill focussize="0,0"/>
                <v:stroke endarrow="block"/>
                <v:imagedata o:title=""/>
                <o:lock v:ext="edit"/>
              </v:line>
              <v:line id="Line 953" o:spid="_x0000_s1046" o:spt="20" style="position:absolute;left:7140;top:1816;height:369;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">
                <v:path arrowok="t"/>
                <v:fill focussize="0,0"/>
                <v:stroke endarrow="block"/>
                <v:imagedata o:title=""/>
                <o:lock v:ext="edit"/>
              </v:line>
              <v:line id="Line 954" o:spid="_x0000_s1047" o:spt="20" style="position:absolute;left:4305;top:1405;height:411;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">
                <v:path arrowok="t"/>
                <v:fill focussize="0,0"/>
                <v:stroke endarrow="block"/>
                <v:imagedata o:title=""/>
                <o:lock v:ext="edit"/>
              </v:line>
              <v:line id="Line 955" o:spid="_x0000_s1048" o:spt="20" style="position:absolute;left:2370;top:3101;height:8;width:477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io8xgAAANsAAAAPAAAAZHJzL2Rvd25yZXYueG1sRI9Ba8JA&#10;FITvgv9heUJvummL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oqIqPMYAAADbAAAA&#10;DwAAAAAAAAAAAAAAAAAHAgAAZHJzL2Rvd25yZXYueG1sUEsFBgAAAAADAAMAtwAAAPoCAAAAAA==&#10;">
                <v:path arrowok="t"/>
                <v:fill focussize="0,0"/>
                <v:stroke/>
                <v:imagedata o:title=""/>
                <o:lock v:ext="edit"/>
              </v:line>
              <v:line id="Line 956" o:spid="_x0000_s1049" o:spt="20" style="position:absolute;left:4515;top:3109;height:30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b36wQAAANsAAAAPAAAAZHJzL2Rvd25yZXYueG1sRE/Pa8Iw&#10;FL4L/g/hCbvZ1M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FqlvfrBAAAA2wAAAA8AAAAA&#10;AAAAAAAAAAAABwIAAGRycy9kb3ducmV2LnhtbFBLBQYAAAAAAwADALcAAAD1AgAAAAA=&#10;">
                <v:path arrowok="t"/>
                <v:fill focussize="0,0"/>
                <v:stroke endarrow="block"/>
                <v:imagedata o:title=""/>
                <o:lock v:ext="edit"/>
              </v:line>
              <v:line id="Line 957" o:spid="_x0000_s1050" o:spt="20" style="position:absolute;left:2835;top:4680;flip:x;height:0;width:63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">
                <v:path arrowok="t"/>
                <v:fill focussize="0,0"/>
                <v:stroke endarrow="block"/>
                <v:imagedata o:title=""/>
                <o:lock v:ext="edit"/>
              </v:line>
              <v:line id="Line 958" o:spid="_x0000_s1051" o:spt="20" style="position:absolute;left:4620;top:708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">
                <v:path arrowok="t"/>
                <v:fill focussize="0,0"/>
                <v:stroke endarrow="block"/>
                <v:imagedata o:title=""/>
                <o:lock v:ext="edit"/>
              </v:line>
              <v:line id="Line 959" o:spid="_x0000_s1052" o:spt="20" style="position:absolute;left:5670;top:8020;flip:x;height:0;width:105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">
                <v:path arrowok="t"/>
                <v:fill focussize="0,0"/>
                <v:stroke endarrow="block"/>
                <v:imagedata o:title=""/>
                <o:lock v:ext="edit"/>
              </v:line>
              <v:line id="Line 960" o:spid="_x0000_s1053" o:spt="20" style="position:absolute;left:4620;top:8428;height:52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">
                <v:path arrowok="t"/>
                <v:fill focussize="0,0"/>
                <v:stroke endarrow="block"/>
                <v:imagedata o:title=""/>
                <o:lock v:ext="edit"/>
              </v:line>
              <v:line id="Line 961" o:spid="_x0000_s1054" o:spt="20" style="position:absolute;left:4620;top:9676;height:52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eU2xQAAANsAAAAPAAAAZHJzL2Rvd25yZXYueG1sRI/NasMw&#10;EITvgb6D2EJuiZwE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CabeU2xQAAANsAAAAP&#10;AAAAAAAAAAAAAAAAAAcCAABkcnMvZG93bnJldi54bWxQSwUGAAAAAAMAAwC3AAAA+QIAAAAA&#10;">
                <v:path arrowok="t"/>
                <v:fill focussize="0,0"/>
                <v:stroke endarrow="block"/>
                <v:imagedata o:title=""/>
                <o:lock v:ext="edit"/>
              </v:line>
              <v:line id="Line 962" o:spid="_x0000_s1055" o:spt="20" style="position:absolute;left:5985;top:10576;height:0;width:73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H1CxQAAANsAAAAPAAAAZHJzL2Rvd25yZXYueG1sRI/NasMw&#10;EITvgb6D2EJuiZwQ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AVhH1CxQAAANsAAAAP&#10;AAAAAAAAAAAAAAAAAAcCAABkcnMvZG93bnJldi54bWxQSwUGAAAAAAMAAwC3AAAA+QIAAAAA&#10;">
                <v:path arrowok="t"/>
                <v:fill focussize="0,0"/>
                <v:stroke endarrow="block"/>
                <v:imagedata o:title=""/>
                <o:lock v:ext="edit"/>
              </v:line>
              <v:line id="Line 963" o:spid="_x0000_s1056" o:spt="20" style="position:absolute;left:1050;top:5152;height:296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">
                <v:path arrowok="t"/>
                <v:fill focussize="0,0"/>
                <v:stroke/>
                <v:imagedata o:title=""/>
                <o:lock v:ext="edit"/>
              </v:line>
              <v:line id="Line 964" o:spid="_x0000_s1057" o:spt="20" style="position:absolute;left:1050;top:8110;height:0;width:210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">
                <v:path arrowok="t"/>
                <v:fill focussize="0,0"/>
                <v:stroke endarrow="block"/>
                <v:imagedata o:title=""/>
                <o:lock v:ext="edit"/>
              </v:line>
              <v:line id="Line 965" o:spid="_x0000_s1058" o:spt="20" style="position:absolute;left:5985;top:1113;height:0;width:283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">
                <v:path arrowok="t"/>
                <v:fill focussize="0,0"/>
                <v:stroke/>
                <v:imagedata o:title=""/>
                <o:lock v:ext="edit"/>
              </v:line>
              <v:line id="Line 966" o:spid="_x0000_s1059" o:spt="20" style="position:absolute;left:2370;top:2945;flip:y;height:15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">
                <v:path arrowok="t"/>
                <v:fill focussize="0,0"/>
                <v:stroke/>
                <v:imagedata o:title=""/>
                <o:lock v:ext="edit"/>
              </v:line>
              <v:line id="Line 967" o:spid="_x0000_s1060" o:spt="20" style="position:absolute;left:7050;top:3101;height:0;width:18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">
                <v:path arrowok="t"/>
                <v:fill focussize="0,0"/>
                <v:stroke/>
                <v:imagedata o:title=""/>
                <o:lock v:ext="edit"/>
              </v:line>
              <v:line id="Line 968" o:spid="_x0000_s1061" o:spt="20" style="position:absolute;left:7230;top:2945;flip:y;height:15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">
                <v:path arrowok="t"/>
                <v:fill focussize="0,0"/>
                <v:stroke/>
                <v:imagedata o:title=""/>
                <o:lock v:ext="edit"/>
              </v:line>
              <v:line id="Line 969" o:spid="_x0000_s1062" o:spt="20" style="position:absolute;left:5121;top:6067;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">
                <v:path arrowok="t"/>
                <v:fill focussize="0,0"/>
                <v:stroke endarrow="block"/>
                <v:imagedata o:title=""/>
                <o:lock v:ext="edit"/>
              </v:line>
              <v:line id="Line 970" o:spid="_x0000_s1063" o:spt="20" style="position:absolute;left:4941;top:4038;height:31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">
                <v:path arrowok="t"/>
                <v:fill focussize="0,0"/>
                <v:stroke endarrow="block"/>
                <v:imagedata o:title=""/>
                <o:lock v:ext="edit"/>
              </v:line>
              <v:line id="Line 971" o:spid="_x0000_s1064" o:spt="20" style="position:absolute;left:8792;top:1102;flip:x;height:6585;width:1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">
                <v:path arrowok="t"/>
                <v:fill focussize="0,0"/>
                <v:stroke endarrow="block"/>
                <v:imagedata o:title=""/>
                <o:lock v:ext="edit"/>
              </v:line>
              <v:line id="Line 972" o:spid="_x0000_s1065" o:spt="20" style="position:absolute;left:5121;top:5131;height:31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eufxAAAANsAAAAPAAAAZHJzL2Rvd25yZXYueG1sRI9BawIx&#10;FITvgv8hPKE3zVpK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JBd65/EAAAA2wAAAA8A&#10;AAAAAAAAAAAAAAAABwIAAGRycy9kb3ducmV2LnhtbFBLBQYAAAAAAwADALcAAAD4AgAAAAA=&#10;">
                <v:path arrowok="t"/>
                <v:fill focussize="0,0"/>
                <v:stroke endarrow="block"/>
                <v:imagedata o:title=""/>
                <o:lock v:ext="edit"/>
              </v:line>
              <v:line id="Line 973" o:spid="_x0000_s1066" o:spt="20" style="position:absolute;left:7159;top:3736;height:0;width:168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ExAAAANsAAAAPAAAAZHJzL2Rvd25yZXYueG1sRI9BawIx&#10;FITvgv8hPKE3zVpo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P8RTgTEAAAA2wAAAA8A&#10;AAAAAAAAAAAAAAAABwIAAGRycy9kb3ducmV2LnhtbFBLBQYAAAAAAwADALcAAAD4AgAAAAA=&#10;">
                <v:path arrowok="t"/>
                <v:fill focussize="0,0"/>
                <v:stroke endarrow="block"/>
                <v:imagedata o:title=""/>
                <o:lock v:ext="edit"/>
              </v:line>
            </v:group>
            <w10:wrap type="none"/>
            <w10:anchorlock/>
          </v:group>
        </w:pict>
      </w:r>
    </w:p>
    <w:p>
      <w:pPr>
        <w:spacing w:afterLines="30" w:line="600" w:lineRule="exact"/>
        <w:jc w:val="center"/>
        <w:rPr>
          <w:rFonts w:ascii="宋体" w:hAnsi="宋体" w:eastAsia="宋体"/>
          <w:b/>
          <w:color w:val="auto"/>
        </w:rPr>
      </w:pPr>
      <w:r>
        <w:rPr>
          <w:rFonts w:hint="eastAsia" w:ascii="宋体" w:hAnsi="宋体"/>
          <w:b/>
          <w:color w:val="auto"/>
        </w:rPr>
        <w:t>“</w:t>
      </w:r>
      <w:r>
        <w:rPr>
          <w:rFonts w:hint="eastAsia" w:ascii="宋体" w:hAnsi="宋体" w:eastAsia="宋体"/>
          <w:b/>
          <w:color w:val="auto"/>
        </w:rPr>
        <w:t>道化法”(第七版)评价程序</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95" w:name="bookmark151"/>
      <w:r>
        <w:rPr>
          <w:rFonts w:ascii="宋体" w:hAnsi="宋体" w:eastAsia="宋体" w:cs="Times New Roman"/>
          <w:bCs/>
          <w:color w:val="auto"/>
          <w:kern w:val="2"/>
          <w:sz w:val="28"/>
          <w:szCs w:val="28"/>
          <w:lang w:val="en-US" w:eastAsia="zh-CN" w:bidi="ar-SA"/>
        </w:rPr>
        <w:t>2.3.2主要危险单元的火灾爆炸危险评价</w:t>
      </w:r>
      <w:bookmarkEnd w:id="195"/>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本评价采用道化学公司的《火灾爆炸危险指数法》(第七版)，选取</w:t>
      </w:r>
      <w:r>
        <w:rPr>
          <w:rFonts w:hint="eastAsia" w:ascii="宋体" w:hAnsi="宋体" w:eastAsia="宋体"/>
          <w:color w:val="auto"/>
          <w:spacing w:val="20"/>
          <w:sz w:val="28"/>
          <w:szCs w:val="28"/>
          <w:lang w:eastAsia="zh-CN"/>
        </w:rPr>
        <w:t>库房一(仓库A)</w:t>
      </w:r>
      <w:r>
        <w:rPr>
          <w:rFonts w:ascii="宋体" w:hAnsi="宋体" w:eastAsia="宋体"/>
          <w:color w:val="auto"/>
          <w:spacing w:val="20"/>
          <w:sz w:val="28"/>
          <w:szCs w:val="28"/>
        </w:rPr>
        <w:t>作为评价对象，对火灾、爆炸危险性进行事故后果评价。</w:t>
      </w:r>
    </w:p>
    <w:p>
      <w:pPr>
        <w:spacing w:line="560" w:lineRule="exact"/>
        <w:ind w:firstLine="454" w:firstLineChars="142"/>
        <w:rPr>
          <w:rFonts w:ascii="宋体" w:hAnsi="宋体" w:eastAsia="宋体"/>
          <w:color w:val="auto"/>
          <w:spacing w:val="20"/>
          <w:sz w:val="28"/>
          <w:szCs w:val="28"/>
        </w:rPr>
      </w:pPr>
      <w:r>
        <w:rPr>
          <w:rFonts w:ascii="宋体" w:hAnsi="宋体" w:eastAsia="PMingLiU"/>
          <w:color w:val="auto"/>
          <w:spacing w:val="20"/>
          <w:sz w:val="28"/>
          <w:szCs w:val="28"/>
        </w:rPr>
        <w:t>1</w:t>
      </w:r>
      <w:r>
        <w:rPr>
          <w:rFonts w:ascii="宋体" w:hAnsi="宋体" w:eastAsia="宋体"/>
          <w:color w:val="auto"/>
          <w:spacing w:val="20"/>
          <w:sz w:val="28"/>
          <w:szCs w:val="28"/>
        </w:rPr>
        <w:t>)评价单元确定</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依据该企业生产工艺过程分析，</w:t>
      </w:r>
      <w:r>
        <w:rPr>
          <w:rFonts w:hint="eastAsia" w:ascii="宋体" w:hAnsi="宋体" w:eastAsia="宋体"/>
          <w:color w:val="auto"/>
          <w:spacing w:val="20"/>
          <w:sz w:val="28"/>
          <w:szCs w:val="28"/>
          <w:lang w:eastAsia="zh-CN"/>
        </w:rPr>
        <w:t>库房一(仓库A)</w:t>
      </w:r>
      <w:r>
        <w:rPr>
          <w:rFonts w:ascii="宋体" w:hAnsi="宋体" w:eastAsia="宋体"/>
          <w:color w:val="auto"/>
          <w:spacing w:val="20"/>
          <w:sz w:val="28"/>
          <w:szCs w:val="28"/>
        </w:rPr>
        <w:t>储存的易燃溶剂的量较大，因此，选取</w:t>
      </w:r>
      <w:r>
        <w:rPr>
          <w:rFonts w:hint="eastAsia" w:ascii="宋体" w:hAnsi="宋体" w:eastAsia="宋体"/>
          <w:color w:val="auto"/>
          <w:spacing w:val="20"/>
          <w:sz w:val="28"/>
          <w:szCs w:val="28"/>
          <w:lang w:eastAsia="zh-CN"/>
        </w:rPr>
        <w:t>库房一(仓库A)</w:t>
      </w:r>
      <w:r>
        <w:rPr>
          <w:rFonts w:ascii="宋体" w:hAnsi="宋体" w:eastAsia="宋体"/>
          <w:color w:val="auto"/>
          <w:spacing w:val="20"/>
          <w:sz w:val="28"/>
          <w:szCs w:val="28"/>
        </w:rPr>
        <w:t>为代表性工艺单元。评价单元基本情况：</w:t>
      </w:r>
    </w:p>
    <w:p>
      <w:pPr>
        <w:spacing w:line="560" w:lineRule="exact"/>
        <w:ind w:firstLine="454" w:firstLineChars="142"/>
        <w:jc w:val="both"/>
        <w:rPr>
          <w:rFonts w:ascii="宋体" w:hAnsi="宋体" w:eastAsia="宋体"/>
          <w:color w:val="auto"/>
          <w:spacing w:val="20"/>
          <w:sz w:val="28"/>
          <w:szCs w:val="28"/>
        </w:rPr>
      </w:pPr>
      <w:r>
        <w:rPr>
          <w:rFonts w:hint="eastAsia" w:ascii="宋体" w:hAnsi="宋体" w:eastAsia="宋体"/>
          <w:color w:val="auto"/>
          <w:spacing w:val="20"/>
          <w:sz w:val="28"/>
          <w:szCs w:val="28"/>
        </w:rPr>
        <w:t>该企业</w:t>
      </w:r>
      <w:r>
        <w:rPr>
          <w:rFonts w:hint="eastAsia" w:ascii="宋体" w:hAnsi="宋体" w:eastAsia="宋体"/>
          <w:color w:val="auto"/>
          <w:spacing w:val="20"/>
          <w:sz w:val="28"/>
          <w:szCs w:val="28"/>
          <w:lang w:eastAsia="zh-CN"/>
        </w:rPr>
        <w:t>库房一(仓库A)</w:t>
      </w:r>
      <w:r>
        <w:rPr>
          <w:rFonts w:hint="eastAsia" w:ascii="宋体" w:hAnsi="宋体" w:eastAsia="宋体"/>
          <w:color w:val="auto"/>
          <w:spacing w:val="20"/>
          <w:sz w:val="28"/>
          <w:szCs w:val="28"/>
        </w:rPr>
        <w:t>主要储存各种易燃溶剂和产品，</w:t>
      </w:r>
      <w:r>
        <w:rPr>
          <w:rFonts w:ascii="宋体" w:hAnsi="宋体" w:eastAsia="宋体"/>
          <w:color w:val="auto"/>
          <w:spacing w:val="20"/>
          <w:sz w:val="28"/>
          <w:szCs w:val="28"/>
        </w:rPr>
        <w:t>储存量较大、危险性较高的物质为</w:t>
      </w:r>
      <w:r>
        <w:rPr>
          <w:rFonts w:hint="eastAsia" w:ascii="宋体" w:hAnsi="宋体" w:eastAsia="宋体"/>
          <w:color w:val="auto"/>
          <w:spacing w:val="20"/>
          <w:sz w:val="28"/>
          <w:szCs w:val="28"/>
          <w:lang w:eastAsia="zh-CN"/>
        </w:rPr>
        <w:t>环己烷</w:t>
      </w:r>
      <w:r>
        <w:rPr>
          <w:rFonts w:ascii="宋体" w:hAnsi="宋体" w:eastAsia="宋体"/>
          <w:color w:val="auto"/>
          <w:spacing w:val="20"/>
          <w:sz w:val="28"/>
          <w:szCs w:val="28"/>
        </w:rPr>
        <w:t>，</w:t>
      </w:r>
      <w:r>
        <w:rPr>
          <w:rFonts w:hint="eastAsia" w:ascii="宋体" w:hAnsi="宋体" w:eastAsia="宋体"/>
          <w:color w:val="auto"/>
          <w:spacing w:val="20"/>
          <w:sz w:val="28"/>
          <w:szCs w:val="28"/>
        </w:rPr>
        <w:t>最大储量为20</w:t>
      </w:r>
      <w:r>
        <w:rPr>
          <w:rFonts w:ascii="宋体" w:hAnsi="宋体" w:eastAsia="宋体"/>
          <w:color w:val="auto"/>
          <w:spacing w:val="20"/>
          <w:sz w:val="28"/>
          <w:szCs w:val="28"/>
        </w:rPr>
        <w:t>吨。</w:t>
      </w:r>
    </w:p>
    <w:p>
      <w:pPr>
        <w:spacing w:line="560" w:lineRule="exact"/>
        <w:ind w:firstLine="454" w:firstLineChars="142"/>
        <w:jc w:val="both"/>
        <w:rPr>
          <w:rFonts w:ascii="宋体" w:hAnsi="宋体" w:eastAsia="宋体"/>
          <w:color w:val="auto"/>
          <w:spacing w:val="20"/>
          <w:sz w:val="28"/>
          <w:szCs w:val="28"/>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rPr>
        <w:t>)确定物质系数</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物质系数是计算火灾、爆炸危险指数和进行事故损失评价的一个基本数据，它表示物质在燃烧或其他化学反应而引起的火灾爆炸中释放能量大小的内在特性。查道化(七版)评价法，选取单元代表物质：</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通过查询物质系数和特性表可知，</w:t>
      </w:r>
      <w:r>
        <w:rPr>
          <w:rFonts w:hint="eastAsia" w:ascii="宋体" w:hAnsi="宋体" w:eastAsia="宋体"/>
          <w:color w:val="auto"/>
          <w:spacing w:val="20"/>
          <w:sz w:val="28"/>
          <w:szCs w:val="28"/>
        </w:rPr>
        <w:t>甲苯</w:t>
      </w:r>
      <w:r>
        <w:rPr>
          <w:rFonts w:ascii="宋体" w:hAnsi="宋体" w:eastAsia="宋体"/>
          <w:color w:val="auto"/>
          <w:spacing w:val="20"/>
          <w:sz w:val="28"/>
          <w:szCs w:val="28"/>
        </w:rPr>
        <w:t>物质系数均16。</w:t>
      </w:r>
    </w:p>
    <w:p>
      <w:pPr>
        <w:spacing w:line="560" w:lineRule="exact"/>
        <w:ind w:firstLine="454" w:firstLineChars="142"/>
        <w:rPr>
          <w:rFonts w:ascii="宋体" w:hAnsi="宋体" w:eastAsia="PMingLiU"/>
          <w:color w:val="auto"/>
          <w:spacing w:val="20"/>
          <w:sz w:val="28"/>
          <w:szCs w:val="28"/>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rPr>
        <w:t>)确定一般工艺危险系数F</w:t>
      </w:r>
      <w:r>
        <w:rPr>
          <w:rFonts w:ascii="宋体" w:hAnsi="宋体" w:eastAsia="PMingLiU"/>
          <w:color w:val="auto"/>
          <w:spacing w:val="20"/>
          <w:sz w:val="28"/>
          <w:szCs w:val="28"/>
          <w:vertAlign w:val="subscript"/>
        </w:rPr>
        <w:t>1</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一般工艺危险系数是确定事故损害大小的主要因素。与评价单元有关的系数值列于后表中(生产单元火灾爆炸危险指数表)，F</w:t>
      </w:r>
      <w:r>
        <w:rPr>
          <w:rFonts w:ascii="宋体" w:hAnsi="宋体" w:eastAsia="PMingLiU"/>
          <w:color w:val="auto"/>
          <w:spacing w:val="20"/>
          <w:sz w:val="28"/>
          <w:szCs w:val="28"/>
          <w:vertAlign w:val="subscript"/>
        </w:rPr>
        <w:t>1</w:t>
      </w:r>
      <w:r>
        <w:rPr>
          <w:rFonts w:ascii="宋体" w:hAnsi="宋体" w:eastAsia="宋体"/>
          <w:color w:val="auto"/>
          <w:spacing w:val="20"/>
          <w:sz w:val="28"/>
          <w:szCs w:val="28"/>
        </w:rPr>
        <w:t>等于基本系数与所有选取系数之和。</w:t>
      </w:r>
    </w:p>
    <w:p>
      <w:pPr>
        <w:spacing w:line="560" w:lineRule="exact"/>
        <w:ind w:firstLine="454" w:firstLineChars="142"/>
        <w:jc w:val="both"/>
        <w:rPr>
          <w:rFonts w:ascii="宋体" w:hAnsi="宋体" w:eastAsia="宋体"/>
          <w:color w:val="auto"/>
          <w:spacing w:val="20"/>
          <w:sz w:val="28"/>
          <w:szCs w:val="28"/>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rPr>
        <w:t>)确定特殊工艺危险系数F</w:t>
      </w:r>
      <w:r>
        <w:rPr>
          <w:rFonts w:ascii="宋体" w:hAnsi="宋体" w:eastAsia="宋体"/>
          <w:color w:val="auto"/>
          <w:spacing w:val="20"/>
          <w:sz w:val="28"/>
          <w:szCs w:val="28"/>
          <w:vertAlign w:val="subscript"/>
        </w:rPr>
        <w:t>2</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特殊工艺危险系数是影响事故发生概率的主要因素，特定的工艺条件是导致火灾、爆炸事故的主要原因。与评价单元有关的系数列于后表中(生产单元火灾爆炸危险指数表)，F</w:t>
      </w:r>
      <w:r>
        <w:rPr>
          <w:rFonts w:ascii="宋体" w:hAnsi="宋体" w:eastAsia="宋体"/>
          <w:color w:val="auto"/>
          <w:spacing w:val="20"/>
          <w:sz w:val="28"/>
          <w:szCs w:val="28"/>
          <w:vertAlign w:val="subscript"/>
        </w:rPr>
        <w:t>2</w:t>
      </w:r>
      <w:r>
        <w:rPr>
          <w:rFonts w:ascii="宋体" w:hAnsi="宋体" w:eastAsia="宋体"/>
          <w:color w:val="auto"/>
          <w:spacing w:val="20"/>
          <w:sz w:val="28"/>
          <w:szCs w:val="28"/>
        </w:rPr>
        <w:t>等于基本系数与所有选取系数之和。</w:t>
      </w:r>
    </w:p>
    <w:p>
      <w:pPr>
        <w:spacing w:line="560" w:lineRule="exact"/>
        <w:ind w:firstLine="454" w:firstLineChars="142"/>
        <w:jc w:val="both"/>
        <w:rPr>
          <w:rFonts w:ascii="宋体" w:hAnsi="宋体" w:eastAsia="宋体"/>
          <w:color w:val="auto"/>
          <w:spacing w:val="20"/>
          <w:sz w:val="28"/>
          <w:szCs w:val="28"/>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rPr>
        <w:t>)计算单元工艺危险系数F</w:t>
      </w:r>
      <w:r>
        <w:rPr>
          <w:rFonts w:ascii="宋体" w:hAnsi="宋体" w:eastAsia="宋体"/>
          <w:color w:val="auto"/>
          <w:spacing w:val="20"/>
          <w:sz w:val="28"/>
          <w:szCs w:val="28"/>
          <w:vertAlign w:val="subscript"/>
        </w:rPr>
        <w:t>3</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单元工艺危险系数是一般工艺危险系数F</w:t>
      </w:r>
      <w:r>
        <w:rPr>
          <w:rFonts w:ascii="宋体" w:hAnsi="宋体" w:eastAsia="PMingLiU"/>
          <w:color w:val="auto"/>
          <w:spacing w:val="20"/>
          <w:sz w:val="28"/>
          <w:szCs w:val="28"/>
          <w:vertAlign w:val="subscript"/>
        </w:rPr>
        <w:t>1</w:t>
      </w:r>
      <w:r>
        <w:rPr>
          <w:rFonts w:ascii="宋体" w:hAnsi="宋体" w:eastAsia="宋体"/>
          <w:color w:val="auto"/>
          <w:spacing w:val="20"/>
          <w:sz w:val="28"/>
          <w:szCs w:val="28"/>
        </w:rPr>
        <w:t>与特殊工艺危险系数的乘积，F</w:t>
      </w:r>
      <w:r>
        <w:rPr>
          <w:rFonts w:ascii="宋体" w:hAnsi="宋体" w:eastAsia="宋体"/>
          <w:color w:val="auto"/>
          <w:spacing w:val="20"/>
          <w:sz w:val="28"/>
          <w:szCs w:val="28"/>
          <w:vertAlign w:val="subscript"/>
        </w:rPr>
        <w:t>3</w:t>
      </w:r>
      <w:r>
        <w:rPr>
          <w:rFonts w:ascii="宋体" w:hAnsi="宋体" w:eastAsia="宋体"/>
          <w:color w:val="auto"/>
          <w:spacing w:val="20"/>
          <w:sz w:val="28"/>
          <w:szCs w:val="28"/>
        </w:rPr>
        <w:t>=F</w:t>
      </w:r>
      <w:r>
        <w:rPr>
          <w:rFonts w:ascii="宋体" w:hAnsi="宋体" w:eastAsia="PMingLiU"/>
          <w:color w:val="auto"/>
          <w:spacing w:val="20"/>
          <w:sz w:val="28"/>
          <w:szCs w:val="28"/>
          <w:vertAlign w:val="subscript"/>
        </w:rPr>
        <w:t>1</w:t>
      </w:r>
      <w:r>
        <w:rPr>
          <w:rFonts w:ascii="宋体" w:hAnsi="宋体" w:eastAsia="宋体"/>
          <w:color w:val="auto"/>
          <w:spacing w:val="20"/>
          <w:sz w:val="28"/>
          <w:szCs w:val="28"/>
        </w:rPr>
        <w:t>×F</w:t>
      </w:r>
      <w:r>
        <w:rPr>
          <w:rFonts w:ascii="宋体" w:hAnsi="宋体" w:eastAsia="宋体"/>
          <w:color w:val="auto"/>
          <w:spacing w:val="20"/>
          <w:sz w:val="28"/>
          <w:szCs w:val="28"/>
          <w:vertAlign w:val="subscript"/>
        </w:rPr>
        <w:t>2</w:t>
      </w:r>
      <w:r>
        <w:rPr>
          <w:rFonts w:ascii="宋体" w:hAnsi="宋体" w:eastAsia="宋体"/>
          <w:color w:val="auto"/>
          <w:spacing w:val="20"/>
          <w:sz w:val="28"/>
          <w:szCs w:val="28"/>
        </w:rPr>
        <w:t>，数值列于表中(生产单元火灾爆炸危险指数表)。</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计算火灾爆炸指数F&amp;EI</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火灾、爆炸指数是被用来估计生产过程中的事故可能造成的危险性大小。火灾、爆炸指数等于单元工艺危险系数和对应物质系数之积，F&amp;EI=F</w:t>
      </w:r>
      <w:r>
        <w:rPr>
          <w:rFonts w:ascii="宋体" w:hAnsi="宋体" w:eastAsia="宋体"/>
          <w:color w:val="auto"/>
          <w:spacing w:val="20"/>
          <w:sz w:val="28"/>
          <w:szCs w:val="28"/>
          <w:vertAlign w:val="subscript"/>
        </w:rPr>
        <w:t>3</w:t>
      </w:r>
      <w:r>
        <w:rPr>
          <w:rFonts w:ascii="宋体" w:hAnsi="宋体" w:eastAsia="宋体"/>
          <w:color w:val="auto"/>
          <w:spacing w:val="20"/>
          <w:sz w:val="28"/>
          <w:szCs w:val="28"/>
        </w:rPr>
        <w:t>×MF，各单元的结果分别列于后表(生产单元火灾爆炸危险指数表)中。</w:t>
      </w:r>
    </w:p>
    <w:p>
      <w:pPr>
        <w:spacing w:line="560" w:lineRule="exact"/>
        <w:ind w:firstLine="454" w:firstLineChars="142"/>
        <w:jc w:val="both"/>
        <w:rPr>
          <w:rFonts w:ascii="宋体" w:hAnsi="宋体" w:eastAsia="宋体"/>
          <w:color w:val="auto"/>
          <w:spacing w:val="20"/>
          <w:sz w:val="28"/>
          <w:szCs w:val="28"/>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rPr>
        <w:t>)确定安全措施补偿系数CF</w:t>
      </w:r>
    </w:p>
    <w:p>
      <w:pPr>
        <w:spacing w:line="560" w:lineRule="exact"/>
        <w:ind w:firstLine="454" w:firstLineChars="142"/>
        <w:jc w:val="both"/>
        <w:rPr>
          <w:rFonts w:ascii="宋体" w:hAnsi="宋体" w:eastAsia="宋体"/>
          <w:color w:val="auto"/>
          <w:spacing w:val="20"/>
          <w:sz w:val="28"/>
          <w:szCs w:val="28"/>
        </w:rPr>
      </w:pPr>
      <w:r>
        <w:rPr>
          <w:rFonts w:ascii="宋体" w:hAnsi="宋体" w:eastAsia="宋体"/>
          <w:color w:val="auto"/>
          <w:spacing w:val="20"/>
          <w:sz w:val="28"/>
          <w:szCs w:val="28"/>
        </w:rPr>
        <w:t>通过采取一系列的安全措施，不仅能预防严重事故的发生，也能降低事故的发生概率和危害，安全措施可分为工艺控制(</w:t>
      </w:r>
      <w:r>
        <w:rPr>
          <w:rFonts w:hint="eastAsia" w:ascii="宋体" w:hAnsi="宋体" w:eastAsia="宋体"/>
          <w:color w:val="auto"/>
          <w:kern w:val="28"/>
          <w:sz w:val="28"/>
          <w:szCs w:val="28"/>
        </w:rPr>
        <w:t>C</w:t>
      </w:r>
      <w:r>
        <w:rPr>
          <w:rFonts w:hint="eastAsia" w:ascii="宋体" w:hAnsi="宋体" w:eastAsia="宋体"/>
          <w:color w:val="auto"/>
          <w:kern w:val="28"/>
          <w:sz w:val="28"/>
          <w:szCs w:val="28"/>
          <w:vertAlign w:val="subscript"/>
        </w:rPr>
        <w:t>1</w:t>
      </w:r>
      <w:r>
        <w:rPr>
          <w:rFonts w:ascii="宋体" w:hAnsi="宋体" w:eastAsia="宋体"/>
          <w:color w:val="auto"/>
          <w:spacing w:val="20"/>
          <w:sz w:val="28"/>
          <w:szCs w:val="28"/>
        </w:rPr>
        <w:t>)，物质隔离(C</w:t>
      </w:r>
      <w:r>
        <w:rPr>
          <w:rFonts w:ascii="宋体" w:hAnsi="宋体" w:eastAsia="宋体"/>
          <w:color w:val="auto"/>
          <w:spacing w:val="20"/>
          <w:sz w:val="28"/>
          <w:szCs w:val="28"/>
          <w:vertAlign w:val="subscript"/>
        </w:rPr>
        <w:t>2</w:t>
      </w:r>
      <w:r>
        <w:rPr>
          <w:rFonts w:ascii="宋体" w:hAnsi="宋体" w:eastAsia="宋体"/>
          <w:color w:val="auto"/>
          <w:spacing w:val="20"/>
          <w:sz w:val="28"/>
          <w:szCs w:val="28"/>
        </w:rPr>
        <w:t>)和防火措施(</w:t>
      </w:r>
      <w:r>
        <w:rPr>
          <w:rFonts w:hint="eastAsia" w:ascii="宋体" w:hAnsi="宋体" w:eastAsia="宋体"/>
          <w:color w:val="auto"/>
          <w:kern w:val="28"/>
          <w:sz w:val="28"/>
          <w:szCs w:val="28"/>
        </w:rPr>
        <w:t>C</w:t>
      </w:r>
      <w:r>
        <w:rPr>
          <w:rFonts w:ascii="宋体" w:hAnsi="宋体" w:eastAsia="宋体"/>
          <w:color w:val="auto"/>
          <w:kern w:val="28"/>
          <w:sz w:val="28"/>
          <w:szCs w:val="28"/>
          <w:vertAlign w:val="subscript"/>
        </w:rPr>
        <w:t>3</w:t>
      </w:r>
      <w:r>
        <w:rPr>
          <w:rFonts w:ascii="宋体" w:hAnsi="宋体" w:eastAsia="宋体"/>
          <w:color w:val="auto"/>
          <w:spacing w:val="20"/>
          <w:sz w:val="28"/>
          <w:szCs w:val="28"/>
        </w:rPr>
        <w:t>)等三大类。安全措施补偿系数CF=</w:t>
      </w:r>
      <w:r>
        <w:rPr>
          <w:rFonts w:hint="eastAsia" w:ascii="宋体" w:hAnsi="宋体" w:eastAsia="宋体"/>
          <w:color w:val="auto"/>
          <w:kern w:val="28"/>
          <w:sz w:val="28"/>
          <w:szCs w:val="28"/>
        </w:rPr>
        <w:t>C</w:t>
      </w:r>
      <w:r>
        <w:rPr>
          <w:rFonts w:hint="eastAsia" w:ascii="宋体" w:hAnsi="宋体" w:eastAsia="宋体"/>
          <w:color w:val="auto"/>
          <w:kern w:val="28"/>
          <w:sz w:val="28"/>
          <w:szCs w:val="28"/>
          <w:vertAlign w:val="subscript"/>
        </w:rPr>
        <w:t>1</w:t>
      </w:r>
      <w:r>
        <w:rPr>
          <w:rFonts w:ascii="宋体" w:hAnsi="宋体" w:eastAsia="宋体"/>
          <w:color w:val="auto"/>
          <w:spacing w:val="20"/>
          <w:sz w:val="28"/>
          <w:szCs w:val="28"/>
        </w:rPr>
        <w:t>×</w:t>
      </w:r>
      <w:r>
        <w:rPr>
          <w:rFonts w:hint="eastAsia" w:ascii="宋体" w:hAnsi="宋体" w:eastAsia="宋体"/>
          <w:color w:val="auto"/>
          <w:kern w:val="28"/>
          <w:sz w:val="28"/>
          <w:szCs w:val="28"/>
        </w:rPr>
        <w:t>C</w:t>
      </w:r>
      <w:r>
        <w:rPr>
          <w:rFonts w:ascii="宋体" w:hAnsi="宋体" w:eastAsia="宋体"/>
          <w:color w:val="auto"/>
          <w:kern w:val="28"/>
          <w:sz w:val="28"/>
          <w:szCs w:val="28"/>
          <w:vertAlign w:val="subscript"/>
        </w:rPr>
        <w:t>2</w:t>
      </w:r>
      <w:r>
        <w:rPr>
          <w:rFonts w:ascii="宋体" w:hAnsi="宋体" w:eastAsia="宋体"/>
          <w:color w:val="auto"/>
          <w:spacing w:val="20"/>
          <w:sz w:val="28"/>
          <w:szCs w:val="28"/>
        </w:rPr>
        <w:t>×</w:t>
      </w:r>
      <w:r>
        <w:rPr>
          <w:rFonts w:hint="eastAsia" w:ascii="宋体" w:hAnsi="宋体" w:eastAsia="宋体"/>
          <w:color w:val="auto"/>
          <w:kern w:val="28"/>
          <w:sz w:val="28"/>
          <w:szCs w:val="28"/>
        </w:rPr>
        <w:t>C</w:t>
      </w:r>
      <w:r>
        <w:rPr>
          <w:rFonts w:ascii="宋体" w:hAnsi="宋体" w:eastAsia="宋体"/>
          <w:color w:val="auto"/>
          <w:kern w:val="28"/>
          <w:sz w:val="28"/>
          <w:szCs w:val="28"/>
          <w:vertAlign w:val="subscript"/>
        </w:rPr>
        <w:t>3</w:t>
      </w:r>
      <w:r>
        <w:rPr>
          <w:rFonts w:ascii="宋体" w:hAnsi="宋体" w:eastAsia="宋体"/>
          <w:color w:val="auto"/>
          <w:spacing w:val="20"/>
          <w:sz w:val="28"/>
          <w:szCs w:val="28"/>
        </w:rPr>
        <w:t>，各单元的结果分别列于表中(生产单元火灾爆炸危险指数表)。分析过程如下。</w:t>
      </w:r>
    </w:p>
    <w:p>
      <w:pPr>
        <w:spacing w:afterLines="30" w:line="560" w:lineRule="exact"/>
        <w:jc w:val="center"/>
        <w:rPr>
          <w:rFonts w:ascii="宋体" w:hAnsi="宋体" w:eastAsia="宋体"/>
          <w:b/>
          <w:color w:val="auto"/>
        </w:rPr>
      </w:pPr>
      <w:r>
        <w:rPr>
          <w:rFonts w:hint="eastAsia" w:ascii="宋体" w:hAnsi="宋体" w:eastAsia="宋体"/>
          <w:b/>
          <w:color w:val="auto"/>
        </w:rPr>
        <w:t>附件表2-</w:t>
      </w:r>
      <w:r>
        <w:rPr>
          <w:rFonts w:hint="eastAsia" w:ascii="宋体" w:hAnsi="宋体" w:eastAsia="宋体"/>
          <w:b/>
          <w:color w:val="auto"/>
          <w:lang w:eastAsia="zh-CN"/>
        </w:rPr>
        <w:t>10</w:t>
      </w:r>
      <w:r>
        <w:rPr>
          <w:rFonts w:hint="eastAsia" w:ascii="宋体" w:hAnsi="宋体" w:eastAsia="宋体"/>
          <w:b/>
          <w:color w:val="auto"/>
        </w:rPr>
        <w:t>评价单元火灾爆炸危险指数表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8"/>
        <w:gridCol w:w="1060"/>
        <w:gridCol w:w="3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项目</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参数选取</w:t>
            </w:r>
          </w:p>
        </w:tc>
        <w:tc>
          <w:tcPr>
            <w:tcW w:w="394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取值说明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选取代表性物质</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正己烷</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1、物质系数MF</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16</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查美国消防协会推荐的物质系数和特性表，NF=3，Nh=1，NR=0。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400" w:type="dxa"/>
            <w:gridSpan w:val="3"/>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2、一般工艺危险系数F1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基本系数(1.00)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(1)放热化学反应(0.30～1.25)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无化学反应。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(2)吸热反应(0.20～0.40)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(3)物料处理与输送(0.25～1.05)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0.85</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NF=3的易燃液体(桶装)。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(4)密闭或室内工艺单元</w:t>
            </w:r>
          </w:p>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(0.25～0.90)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0.45</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封闭区域内在闪点以上处理易燃液体。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(5)通道(0.20～0.35)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0.20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查面积小于925m</w:t>
            </w:r>
            <w:r>
              <w:rPr>
                <w:rFonts w:hint="eastAsia" w:ascii="宋体" w:hAnsi="宋体" w:eastAsia="宋体" w:cs="宋体"/>
                <w:color w:val="auto"/>
                <w:kern w:val="2"/>
                <w:sz w:val="21"/>
                <w:szCs w:val="21"/>
                <w:vertAlign w:val="superscript"/>
              </w:rPr>
              <w:t>2</w:t>
            </w:r>
            <w:r>
              <w:rPr>
                <w:rFonts w:hint="eastAsia" w:ascii="宋体" w:hAnsi="宋体" w:eastAsia="宋体" w:cs="宋体"/>
                <w:color w:val="auto"/>
                <w:kern w:val="2"/>
                <w:sz w:val="21"/>
                <w:szCs w:val="21"/>
              </w:rPr>
              <w:t>，装置周围通道符合要求。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(6)排放和泄漏控制(0.25～0.50)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0.50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周围为可排放泄漏液平坦地，一旦失火，引起火灾。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确定一般工艺危险系数(F1)</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3.0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400" w:type="dxa"/>
            <w:gridSpan w:val="3"/>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3、特殊工艺危险系数F2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基本系数(1.00)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(1)毒性物质(0.20～0.80)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0.20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NH=1，短期接触引起刺激、轻微伤害。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(2)负压操作(0.5)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常压操作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(3)易燃范围或接近易燃范围的操作(0.30～0.80)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0.50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其温度在闪点以上，且无惰性气体保护。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(4)粉尘爆炸(0.25～2.00)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无粉尘爆炸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(5)压力释放(0～1.5)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0.16</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常压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(6)低温(0.2～0.3)</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常温操作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(7)易燃及不稳定物质的质量(0.15～3)</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0.38</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假设全部泄漏，泄漏量为20×10</w:t>
            </w:r>
            <w:r>
              <w:rPr>
                <w:rFonts w:hint="eastAsia" w:ascii="宋体" w:hAnsi="宋体" w:eastAsia="宋体" w:cs="宋体"/>
                <w:color w:val="auto"/>
                <w:kern w:val="2"/>
                <w:sz w:val="21"/>
                <w:szCs w:val="21"/>
                <w:vertAlign w:val="superscript"/>
              </w:rPr>
              <w:t>3</w:t>
            </w:r>
            <w:r>
              <w:rPr>
                <w:rFonts w:hint="eastAsia" w:ascii="宋体" w:hAnsi="宋体" w:eastAsia="宋体" w:cs="宋体"/>
                <w:color w:val="auto"/>
                <w:kern w:val="2"/>
                <w:sz w:val="21"/>
                <w:szCs w:val="21"/>
              </w:rPr>
              <w:t>kg,总能量20×10</w:t>
            </w:r>
            <w:r>
              <w:rPr>
                <w:rFonts w:hint="eastAsia" w:ascii="宋体" w:hAnsi="宋体" w:eastAsia="宋体" w:cs="宋体"/>
                <w:color w:val="auto"/>
                <w:kern w:val="2"/>
                <w:sz w:val="21"/>
                <w:szCs w:val="21"/>
                <w:vertAlign w:val="superscript"/>
              </w:rPr>
              <w:t>3</w:t>
            </w:r>
            <w:r>
              <w:rPr>
                <w:rFonts w:hint="eastAsia" w:ascii="宋体" w:hAnsi="宋体" w:eastAsia="宋体" w:cs="宋体"/>
                <w:color w:val="auto"/>
                <w:kern w:val="2"/>
                <w:sz w:val="21"/>
                <w:szCs w:val="21"/>
              </w:rPr>
              <w:t>÷0.4536×19.2×10</w:t>
            </w:r>
            <w:r>
              <w:rPr>
                <w:rFonts w:hint="eastAsia" w:ascii="宋体" w:hAnsi="宋体" w:eastAsia="宋体" w:cs="宋体"/>
                <w:color w:val="auto"/>
                <w:kern w:val="2"/>
                <w:sz w:val="21"/>
                <w:szCs w:val="21"/>
                <w:vertAlign w:val="superscript"/>
              </w:rPr>
              <w:t>3</w:t>
            </w:r>
            <w:r>
              <w:rPr>
                <w:rFonts w:hint="eastAsia" w:ascii="宋体" w:hAnsi="宋体" w:eastAsia="宋体" w:cs="宋体"/>
                <w:color w:val="auto"/>
                <w:kern w:val="2"/>
                <w:sz w:val="21"/>
                <w:szCs w:val="21"/>
              </w:rPr>
              <w:t>=0.846×10</w:t>
            </w:r>
            <w:r>
              <w:rPr>
                <w:rFonts w:hint="eastAsia" w:ascii="宋体" w:hAnsi="宋体" w:eastAsia="宋体" w:cs="宋体"/>
                <w:color w:val="auto"/>
                <w:kern w:val="2"/>
                <w:sz w:val="21"/>
                <w:szCs w:val="21"/>
                <w:vertAlign w:val="superscript"/>
              </w:rPr>
              <w:t>9</w:t>
            </w:r>
            <w:r>
              <w:rPr>
                <w:rFonts w:hint="eastAsia" w:ascii="宋体" w:hAnsi="宋体" w:eastAsia="宋体" w:cs="宋体"/>
                <w:color w:val="auto"/>
                <w:kern w:val="2"/>
                <w:sz w:val="21"/>
                <w:szCs w:val="21"/>
              </w:rPr>
              <w:t>,查图。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(8)腐蚀与磨损(0.10～0.75)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0.20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0.254mm/a＞腐蚀速率＞0.127mm/a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(9)泄漏(0.10～1.50)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0.10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压盖密封处可能产生的轻微泄露。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(10)使用明火设备(0.10～1.00)</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无明火设备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(11)热油交换系统(0.15～1.15)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无热油交换系统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(12)转动设备(0.5)</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0.00</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无大型转动设备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特殊工艺危险系数(F2)</w:t>
            </w:r>
          </w:p>
        </w:tc>
        <w:tc>
          <w:tcPr>
            <w:tcW w:w="10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2.54</w:t>
            </w:r>
          </w:p>
        </w:tc>
        <w:tc>
          <w:tcPr>
            <w:tcW w:w="3942"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单元工艺危险系数F3=F1×F2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7.62</w:t>
            </w:r>
          </w:p>
        </w:tc>
        <w:tc>
          <w:tcPr>
            <w:tcW w:w="3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F</w:t>
            </w:r>
            <w:r>
              <w:rPr>
                <w:rFonts w:hint="eastAsia" w:ascii="宋体" w:hAnsi="宋体" w:eastAsia="宋体" w:cs="宋体"/>
                <w:color w:val="auto"/>
                <w:kern w:val="2"/>
                <w:sz w:val="21"/>
                <w:szCs w:val="21"/>
                <w:vertAlign w:val="subscript"/>
              </w:rPr>
              <w:t>3</w:t>
            </w:r>
            <w:r>
              <w:rPr>
                <w:rFonts w:hint="eastAsia" w:ascii="宋体" w:hAnsi="宋体" w:eastAsia="宋体" w:cs="宋体"/>
                <w:color w:val="auto"/>
                <w:kern w:val="2"/>
                <w:sz w:val="21"/>
                <w:szCs w:val="21"/>
              </w:rPr>
              <w:t>=F</w:t>
            </w:r>
            <w:r>
              <w:rPr>
                <w:rFonts w:hint="eastAsia" w:ascii="宋体" w:hAnsi="宋体" w:eastAsia="宋体" w:cs="宋体"/>
                <w:color w:val="auto"/>
                <w:kern w:val="2"/>
                <w:sz w:val="21"/>
                <w:szCs w:val="21"/>
                <w:vertAlign w:val="subscript"/>
              </w:rPr>
              <w:t>1</w:t>
            </w:r>
            <w:r>
              <w:rPr>
                <w:rFonts w:hint="eastAsia" w:ascii="宋体" w:hAnsi="宋体" w:eastAsia="宋体" w:cs="宋体"/>
                <w:color w:val="auto"/>
                <w:kern w:val="2"/>
                <w:sz w:val="21"/>
                <w:szCs w:val="21"/>
              </w:rPr>
              <w:t>×F</w:t>
            </w:r>
            <w:r>
              <w:rPr>
                <w:rFonts w:hint="eastAsia" w:ascii="宋体" w:hAnsi="宋体" w:eastAsia="宋体" w:cs="宋体"/>
                <w:color w:val="auto"/>
                <w:kern w:val="2"/>
                <w:sz w:val="21"/>
                <w:szCs w:val="21"/>
                <w:vertAlign w:val="subscript"/>
              </w:rPr>
              <w:t>2</w:t>
            </w:r>
            <w:r>
              <w:rPr>
                <w:rFonts w:hint="eastAsia" w:ascii="宋体" w:hAnsi="宋体" w:eastAsia="宋体" w:cs="宋体"/>
                <w:color w:val="auto"/>
                <w:kern w:val="2"/>
                <w:sz w:val="21"/>
                <w:szCs w:val="21"/>
              </w:rPr>
              <w:t>=3.0×2.54=7.62。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火灾爆炸危险指数F&amp;EI=F3×MF</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122</w:t>
            </w:r>
          </w:p>
        </w:tc>
        <w:tc>
          <w:tcPr>
            <w:tcW w:w="3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潜在火灾爆炸危险等级</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中等</w:t>
            </w:r>
          </w:p>
        </w:tc>
        <w:tc>
          <w:tcPr>
            <w:tcW w:w="3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bl>
    <w:p>
      <w:pPr>
        <w:spacing w:afterLines="30" w:line="560" w:lineRule="exact"/>
        <w:jc w:val="center"/>
        <w:rPr>
          <w:rFonts w:hint="eastAsia" w:ascii="宋体" w:hAnsi="宋体" w:eastAsia="宋体"/>
          <w:b/>
          <w:color w:val="auto"/>
        </w:rPr>
      </w:pPr>
    </w:p>
    <w:p>
      <w:pPr>
        <w:spacing w:afterLines="30" w:line="560" w:lineRule="exact"/>
        <w:jc w:val="center"/>
        <w:rPr>
          <w:rFonts w:hint="eastAsia" w:ascii="宋体" w:hAnsi="宋体" w:eastAsia="宋体"/>
          <w:b/>
          <w:color w:val="auto"/>
        </w:rPr>
      </w:pPr>
      <w:r>
        <w:rPr>
          <w:rFonts w:hint="eastAsia" w:ascii="宋体" w:hAnsi="宋体" w:eastAsia="宋体"/>
          <w:b/>
          <w:color w:val="auto"/>
        </w:rPr>
        <w:t>附件表2-</w:t>
      </w:r>
      <w:r>
        <w:rPr>
          <w:rFonts w:hint="eastAsia" w:ascii="宋体" w:hAnsi="宋体" w:eastAsia="宋体"/>
          <w:b/>
          <w:color w:val="auto"/>
          <w:lang w:eastAsia="zh-CN"/>
        </w:rPr>
        <w:t>11</w:t>
      </w:r>
      <w:r>
        <w:rPr>
          <w:rFonts w:hint="eastAsia" w:ascii="宋体" w:hAnsi="宋体" w:eastAsia="宋体"/>
          <w:b/>
          <w:color w:val="auto"/>
        </w:rPr>
        <w:t>评价单元火灾爆炸危险指数表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5"/>
        <w:gridCol w:w="1301"/>
        <w:gridCol w:w="3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项目</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参数选取</w:t>
            </w:r>
          </w:p>
        </w:tc>
        <w:tc>
          <w:tcPr>
            <w:tcW w:w="377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选取理由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代表性物质</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正己烷</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1工艺控制安全补偿系数C1</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(1)应急电源(0.98)</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0.98</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有应急电源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(2)冷却装置(0.97～0.99)</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0.97</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有冷却装置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(3)抑爆装置(0.84～0.98)</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无防爆膜或泄爆口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(4)紧急切断装置(0.96～0.99)</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无紧急切断装置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(5)计算机控制(0.93～0.99)</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(6)惰性气体保护(0.94～0.96)</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无惰性气体保护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(7)操作规程/程序(0.91～0.99)</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0.95</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有操作规程，鉴于管理水平不同，取中间值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(8)化学活泼性物质检查(0.91～0.98)</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无此检查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(9)其他工艺危险分析(0.91～0.98)</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0.98</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采用安全检查表分析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C</w:t>
            </w:r>
            <w:r>
              <w:rPr>
                <w:rFonts w:hint="eastAsia" w:ascii="宋体" w:hAnsi="宋体" w:eastAsia="宋体" w:cs="宋体"/>
                <w:b/>
                <w:color w:val="auto"/>
                <w:kern w:val="2"/>
                <w:sz w:val="21"/>
                <w:szCs w:val="21"/>
                <w:vertAlign w:val="subscript"/>
              </w:rPr>
              <w:t>1</w:t>
            </w:r>
            <w:r>
              <w:rPr>
                <w:rFonts w:hint="eastAsia" w:ascii="宋体" w:hAnsi="宋体" w:eastAsia="宋体" w:cs="宋体"/>
                <w:b/>
                <w:color w:val="auto"/>
                <w:kern w:val="2"/>
                <w:sz w:val="21"/>
                <w:szCs w:val="21"/>
              </w:rPr>
              <w:t>=(1)～(9)各系数的乘积</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0.89</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0.95×0.98×0.98×0.97＝0.89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2、物质隔离安全补偿系数C2</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(1)遥控阀(0.96～0.98)</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无遥控阀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(2)备用泄料装置(0.96～0.98)</w:t>
            </w:r>
          </w:p>
        </w:tc>
        <w:tc>
          <w:tcPr>
            <w:tcW w:w="1301"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无备用泄料装置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(3)排放系统(0.91～0.97)</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无排放系统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(4)连锁装置(0.98)</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无连锁装置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C</w:t>
            </w:r>
            <w:r>
              <w:rPr>
                <w:rFonts w:hint="eastAsia" w:ascii="宋体" w:hAnsi="宋体" w:eastAsia="宋体" w:cs="宋体"/>
                <w:b/>
                <w:color w:val="auto"/>
                <w:kern w:val="2"/>
                <w:sz w:val="21"/>
                <w:szCs w:val="21"/>
                <w:vertAlign w:val="subscript"/>
              </w:rPr>
              <w:t>2</w:t>
            </w:r>
            <w:r>
              <w:rPr>
                <w:rFonts w:hint="eastAsia" w:ascii="宋体" w:hAnsi="宋体" w:eastAsia="宋体" w:cs="宋体"/>
                <w:b/>
                <w:color w:val="auto"/>
                <w:kern w:val="2"/>
                <w:sz w:val="21"/>
                <w:szCs w:val="21"/>
              </w:rPr>
              <w:t>=(1)～(4)各系数的乘积</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1.00</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1.00×1.00×1.00×1.00＝1.00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3、防火设施安全补偿系数C3</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(1)泄漏检测装置(0.94～0.98)</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0.98</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安装了可燃气体检测仪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(2)钢结构(0.95～0.98)</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0.98</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(3)消防水供应系统(0.94～0.97)</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0.97</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有消火栓，供水压力小于690kPa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(4)特殊灭火系统(0.91)</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无特殊灭火系统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(5)喷洒灭火系统(0.74～0.97)</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0.97</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有自动喷洒灭火系统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(6)水幕(0.97～0.98)</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无自动喷水幕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(7)泡沫灭火装置(0.92～0.97)</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1.00</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无泡沫灭火装置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(8)手提式灭火器材/喷水枪(0.93～0.98)</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0.94</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配备适量的手提式灭火器材和水枪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(9)电缆防护(0.94～0.98)</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0.94</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电缆埋地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C</w:t>
            </w:r>
            <w:r>
              <w:rPr>
                <w:rFonts w:hint="eastAsia" w:ascii="宋体" w:hAnsi="宋体" w:eastAsia="宋体" w:cs="宋体"/>
                <w:b/>
                <w:color w:val="auto"/>
                <w:kern w:val="2"/>
                <w:sz w:val="21"/>
                <w:szCs w:val="21"/>
                <w:vertAlign w:val="subscript"/>
              </w:rPr>
              <w:t>3</w:t>
            </w:r>
            <w:r>
              <w:rPr>
                <w:rFonts w:hint="eastAsia" w:ascii="宋体" w:hAnsi="宋体" w:eastAsia="宋体" w:cs="宋体"/>
                <w:b/>
                <w:color w:val="auto"/>
                <w:kern w:val="2"/>
                <w:sz w:val="21"/>
                <w:szCs w:val="21"/>
              </w:rPr>
              <w:t>=(1)～(9)各系数的乘积</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0.798</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0.98×0.98×0.97×0.97×0.94×0.94＝0.798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安全措施补偿系数CF=C1×C2×C3</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0.71</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0.89×1.00×0.798＝0.71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补偿后火灾爆炸危险指数F&amp;EI=F3×MF</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87</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122×0.71=87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补偿后火灾爆炸危险等级</w:t>
            </w:r>
          </w:p>
        </w:tc>
        <w:tc>
          <w:tcPr>
            <w:tcW w:w="13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较轻</w:t>
            </w:r>
          </w:p>
        </w:tc>
        <w:tc>
          <w:tcPr>
            <w:tcW w:w="3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bl>
    <w:p>
      <w:pPr>
        <w:spacing w:afterLines="30" w:line="560" w:lineRule="exact"/>
        <w:jc w:val="center"/>
        <w:rPr>
          <w:rFonts w:hint="eastAsia" w:ascii="宋体" w:hAnsi="宋体" w:eastAsia="宋体"/>
          <w:b/>
          <w:color w:val="auto"/>
        </w:rPr>
      </w:pP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2.3.2评价单元的道化学计算</w:t>
      </w:r>
    </w:p>
    <w:p>
      <w:pPr>
        <w:spacing w:line="560" w:lineRule="exact"/>
        <w:ind w:firstLine="454" w:firstLineChars="142"/>
        <w:jc w:val="both"/>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)确定暴露面积</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在火灾、爆炸事故中，暴露区域内的设备、设施将会暴露在火灾或爆炸的环境之中，并可能遭受破坏。为了评价这些设备、设施在火灾、爆炸中遭受的破坏，将考虑实际影响的体积是一个围绕着工艺单元的圆柱体的体积，其面积是暴露区域，高度相当于暴露半径。</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暴露半径(</w:t>
      </w:r>
      <w:r>
        <w:rPr>
          <w:rFonts w:hint="eastAsia" w:ascii="宋体" w:hAnsi="宋体" w:eastAsia="宋体"/>
          <w:color w:val="auto"/>
          <w:spacing w:val="20"/>
          <w:sz w:val="28"/>
          <w:szCs w:val="28"/>
          <w:lang w:val="en-GB" w:eastAsia="zh-CN"/>
        </w:rPr>
        <w:t>R：米)R=F&amp;EI</w:t>
      </w:r>
      <w:r>
        <w:rPr>
          <w:rFonts w:hint="eastAsia" w:ascii="宋体" w:hAnsi="宋体" w:eastAsia="宋体"/>
          <w:color w:val="auto"/>
          <w:spacing w:val="20"/>
          <w:sz w:val="28"/>
          <w:szCs w:val="28"/>
          <w:lang w:eastAsia="zh-CN"/>
        </w:rPr>
        <w:t>×0.256，</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式中0.256</w:t>
      </w:r>
      <w:r>
        <w:rPr>
          <w:rFonts w:hint="eastAsia" w:ascii="宋体" w:hAnsi="宋体" w:eastAsia="宋体"/>
          <w:color w:val="auto"/>
          <w:spacing w:val="20"/>
          <w:sz w:val="28"/>
          <w:szCs w:val="28"/>
          <w:lang w:val="en-GB" w:eastAsia="zh-CN"/>
        </w:rPr>
        <w:t>为公英制转换：0.84×0.304=</w:t>
      </w:r>
      <w:r>
        <w:rPr>
          <w:rFonts w:hint="eastAsia" w:ascii="宋体" w:hAnsi="宋体" w:eastAsia="宋体"/>
          <w:color w:val="auto"/>
          <w:spacing w:val="20"/>
          <w:sz w:val="28"/>
          <w:szCs w:val="28"/>
          <w:lang w:eastAsia="zh-CN"/>
        </w:rPr>
        <w:t>0.256，</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val="en-GB" w:eastAsia="zh-CN"/>
        </w:rPr>
        <w:t>因而，库房一(仓库A)储存</w:t>
      </w:r>
      <w:r>
        <w:rPr>
          <w:rFonts w:hint="eastAsia" w:ascii="宋体" w:hAnsi="宋体" w:eastAsia="宋体"/>
          <w:color w:val="auto"/>
          <w:spacing w:val="20"/>
          <w:sz w:val="28"/>
          <w:szCs w:val="28"/>
          <w:lang w:eastAsia="zh-CN"/>
        </w:rPr>
        <w:t>单元暴露半径为：</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R=F&amp;EI×0.256=122×0.256=31.2m</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计算暴露区域面积A</w:t>
      </w:r>
    </w:p>
    <w:p>
      <w:pPr>
        <w:spacing w:line="560" w:lineRule="exact"/>
        <w:ind w:firstLine="454" w:firstLineChars="142"/>
        <w:jc w:val="both"/>
        <w:rPr>
          <w:rFonts w:hint="eastAsia" w:ascii="宋体" w:hAnsi="宋体" w:eastAsia="宋体"/>
          <w:color w:val="auto"/>
          <w:spacing w:val="20"/>
          <w:sz w:val="28"/>
          <w:szCs w:val="28"/>
          <w:lang w:eastAsia="zh-CN"/>
        </w:rPr>
      </w:pPr>
      <w:r>
        <w:rPr>
          <w:rFonts w:ascii="宋体" w:hAnsi="宋体" w:eastAsia="宋体"/>
          <w:color w:val="auto"/>
          <w:spacing w:val="20"/>
          <w:sz w:val="28"/>
          <w:szCs w:val="28"/>
          <w:lang w:eastAsia="zh-CN"/>
        </w:rPr>
        <w:t>按道化评价法(七版)，暴露区域面积：A=πR2(m2)</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val="en-GB" w:eastAsia="zh-CN"/>
        </w:rPr>
        <w:t>库房一(仓库A)储存</w:t>
      </w:r>
      <w:r>
        <w:rPr>
          <w:rFonts w:ascii="宋体" w:hAnsi="宋体" w:eastAsia="宋体"/>
          <w:color w:val="auto"/>
          <w:spacing w:val="20"/>
          <w:sz w:val="28"/>
          <w:szCs w:val="28"/>
          <w:lang w:eastAsia="zh-CN"/>
        </w:rPr>
        <w:t>单元暴露区域面积</w:t>
      </w:r>
      <w:r>
        <w:rPr>
          <w:rFonts w:hint="eastAsia" w:ascii="宋体" w:hAnsi="宋体" w:eastAsia="宋体"/>
          <w:color w:val="auto"/>
          <w:spacing w:val="20"/>
          <w:sz w:val="28"/>
          <w:szCs w:val="28"/>
          <w:lang w:eastAsia="zh-CN"/>
        </w:rPr>
        <w:t>为：</w:t>
      </w:r>
    </w:p>
    <w:p>
      <w:pPr>
        <w:spacing w:line="560" w:lineRule="exact"/>
        <w:ind w:firstLine="454" w:firstLineChars="142"/>
        <w:jc w:val="both"/>
        <w:rPr>
          <w:rFonts w:hint="eastAsia" w:ascii="宋体" w:hAnsi="宋体" w:eastAsia="宋体"/>
          <w:color w:val="auto"/>
          <w:spacing w:val="20"/>
          <w:sz w:val="28"/>
          <w:szCs w:val="28"/>
          <w:lang w:eastAsia="zh-CN"/>
        </w:rPr>
      </w:pPr>
      <w:r>
        <w:rPr>
          <w:rFonts w:ascii="宋体" w:hAnsi="宋体" w:eastAsia="宋体"/>
          <w:color w:val="auto"/>
          <w:spacing w:val="20"/>
          <w:sz w:val="28"/>
          <w:szCs w:val="28"/>
          <w:lang w:eastAsia="zh-CN"/>
        </w:rPr>
        <w:t>A=πR2</w:t>
      </w:r>
    </w:p>
    <w:p>
      <w:pPr>
        <w:spacing w:line="560" w:lineRule="exact"/>
        <w:ind w:firstLine="454" w:firstLineChars="142"/>
        <w:jc w:val="both"/>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=3.14×</w:t>
      </w:r>
      <w:r>
        <w:rPr>
          <w:rFonts w:hint="eastAsia" w:ascii="宋体" w:hAnsi="宋体" w:eastAsia="宋体"/>
          <w:color w:val="auto"/>
          <w:spacing w:val="20"/>
          <w:sz w:val="28"/>
          <w:szCs w:val="28"/>
          <w:lang w:eastAsia="zh-CN"/>
        </w:rPr>
        <w:t>31.2</w:t>
      </w:r>
      <w:r>
        <w:rPr>
          <w:rFonts w:ascii="宋体" w:hAnsi="宋体" w:eastAsia="宋体"/>
          <w:color w:val="auto"/>
          <w:spacing w:val="20"/>
          <w:sz w:val="28"/>
          <w:szCs w:val="28"/>
          <w:lang w:eastAsia="zh-CN"/>
        </w:rPr>
        <w:t>2=</w:t>
      </w:r>
      <w:r>
        <w:rPr>
          <w:rFonts w:hint="eastAsia" w:ascii="宋体" w:hAnsi="宋体" w:eastAsia="宋体"/>
          <w:color w:val="auto"/>
          <w:spacing w:val="20"/>
          <w:sz w:val="28"/>
          <w:szCs w:val="28"/>
          <w:lang w:eastAsia="zh-CN"/>
        </w:rPr>
        <w:t>3056.6</w:t>
      </w:r>
      <w:r>
        <w:rPr>
          <w:rFonts w:ascii="宋体" w:hAnsi="宋体" w:eastAsia="宋体"/>
          <w:color w:val="auto"/>
          <w:spacing w:val="20"/>
          <w:sz w:val="28"/>
          <w:szCs w:val="28"/>
          <w:lang w:eastAsia="zh-CN"/>
        </w:rPr>
        <w:t>m2</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危害系数HF</w:t>
      </w:r>
    </w:p>
    <w:p>
      <w:pPr>
        <w:spacing w:line="560" w:lineRule="exact"/>
        <w:ind w:firstLine="454" w:firstLineChars="142"/>
        <w:jc w:val="both"/>
        <w:rPr>
          <w:rFonts w:hint="eastAsia" w:ascii="宋体" w:hAnsi="宋体" w:eastAsia="宋体"/>
          <w:color w:val="auto"/>
          <w:spacing w:val="20"/>
          <w:sz w:val="28"/>
          <w:szCs w:val="28"/>
          <w:lang w:eastAsia="zh-CN"/>
        </w:rPr>
      </w:pPr>
      <w:r>
        <w:rPr>
          <w:rFonts w:ascii="宋体" w:hAnsi="宋体" w:eastAsia="宋体"/>
          <w:color w:val="auto"/>
          <w:spacing w:val="20"/>
          <w:sz w:val="28"/>
          <w:szCs w:val="28"/>
          <w:lang w:eastAsia="zh-CN"/>
        </w:rPr>
        <w:t>按道化评价法(七版)查单元危害系数计算图，当MF=16，F3=</w:t>
      </w:r>
      <w:r>
        <w:rPr>
          <w:rFonts w:hint="eastAsia" w:ascii="宋体" w:hAnsi="宋体" w:eastAsia="宋体"/>
          <w:color w:val="auto"/>
          <w:spacing w:val="20"/>
          <w:sz w:val="28"/>
          <w:szCs w:val="28"/>
          <w:lang w:eastAsia="zh-CN"/>
        </w:rPr>
        <w:t>7.62</w:t>
      </w:r>
      <w:r>
        <w:rPr>
          <w:rFonts w:ascii="宋体" w:hAnsi="宋体" w:eastAsia="宋体"/>
          <w:color w:val="auto"/>
          <w:spacing w:val="20"/>
          <w:sz w:val="28"/>
          <w:szCs w:val="28"/>
          <w:lang w:eastAsia="zh-CN"/>
        </w:rPr>
        <w:t>，HF=</w:t>
      </w:r>
      <w:r>
        <w:rPr>
          <w:rFonts w:hint="eastAsia" w:ascii="宋体" w:hAnsi="宋体" w:eastAsia="宋体"/>
          <w:color w:val="auto"/>
          <w:spacing w:val="20"/>
          <w:sz w:val="28"/>
          <w:szCs w:val="28"/>
          <w:lang w:eastAsia="zh-CN"/>
        </w:rPr>
        <w:t>0.70</w:t>
      </w:r>
    </w:p>
    <w:p>
      <w:pPr>
        <w:spacing w:line="560" w:lineRule="exact"/>
        <w:ind w:firstLine="454" w:firstLineChars="142"/>
        <w:jc w:val="both"/>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lang w:eastAsia="zh-CN"/>
        </w:rPr>
        <w:t>基本最大可能财产损失(BaseMPPD)</w:t>
      </w:r>
    </w:p>
    <w:p>
      <w:pPr>
        <w:spacing w:line="560" w:lineRule="exact"/>
        <w:ind w:firstLine="454" w:firstLineChars="142"/>
        <w:jc w:val="both"/>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BMPPD=MC×HF式中MC—暴露区域内财产价值</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该</w:t>
      </w:r>
      <w:r>
        <w:rPr>
          <w:rFonts w:ascii="宋体" w:hAnsi="宋体" w:eastAsia="宋体"/>
          <w:color w:val="auto"/>
          <w:spacing w:val="20"/>
          <w:sz w:val="28"/>
          <w:szCs w:val="28"/>
          <w:lang w:eastAsia="zh-CN"/>
        </w:rPr>
        <w:t>单元BMPPD=MC×0.</w:t>
      </w:r>
      <w:r>
        <w:rPr>
          <w:rFonts w:hint="eastAsia" w:ascii="宋体" w:hAnsi="宋体" w:eastAsia="宋体"/>
          <w:color w:val="auto"/>
          <w:spacing w:val="20"/>
          <w:sz w:val="28"/>
          <w:szCs w:val="28"/>
          <w:lang w:eastAsia="zh-CN"/>
        </w:rPr>
        <w:t>70</w:t>
      </w:r>
    </w:p>
    <w:p>
      <w:pPr>
        <w:spacing w:line="560" w:lineRule="exact"/>
        <w:ind w:firstLine="454" w:firstLineChars="142"/>
        <w:jc w:val="both"/>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lang w:eastAsia="zh-CN"/>
        </w:rPr>
        <w:t>实际最大可能财产损失(ActualMPPD)</w:t>
      </w:r>
    </w:p>
    <w:p>
      <w:pPr>
        <w:spacing w:line="560" w:lineRule="exact"/>
        <w:ind w:firstLine="454" w:firstLineChars="142"/>
        <w:jc w:val="both"/>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AMPPD=BMPPD×CF式中CF—安全措施补偿系数</w:t>
      </w:r>
    </w:p>
    <w:p>
      <w:pPr>
        <w:spacing w:line="560" w:lineRule="exact"/>
        <w:ind w:firstLine="454" w:firstLineChars="142"/>
        <w:jc w:val="both"/>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val="en-GB" w:eastAsia="zh-CN"/>
        </w:rPr>
        <w:t>该</w:t>
      </w:r>
      <w:r>
        <w:rPr>
          <w:rFonts w:ascii="宋体" w:hAnsi="宋体" w:eastAsia="宋体"/>
          <w:color w:val="auto"/>
          <w:spacing w:val="20"/>
          <w:sz w:val="28"/>
          <w:szCs w:val="28"/>
          <w:lang w:eastAsia="zh-CN"/>
        </w:rPr>
        <w:t>单元AMPPD=MC×0.</w:t>
      </w:r>
      <w:r>
        <w:rPr>
          <w:rFonts w:hint="eastAsia" w:ascii="宋体" w:hAnsi="宋体" w:eastAsia="宋体"/>
          <w:color w:val="auto"/>
          <w:spacing w:val="20"/>
          <w:sz w:val="28"/>
          <w:szCs w:val="28"/>
          <w:lang w:eastAsia="zh-CN"/>
        </w:rPr>
        <w:t>7</w:t>
      </w:r>
      <w:r>
        <w:rPr>
          <w:rFonts w:ascii="宋体" w:hAnsi="宋体" w:eastAsia="宋体"/>
          <w:color w:val="auto"/>
          <w:spacing w:val="20"/>
          <w:sz w:val="28"/>
          <w:szCs w:val="28"/>
          <w:lang w:eastAsia="zh-CN"/>
        </w:rPr>
        <w:t>×0.</w:t>
      </w:r>
      <w:r>
        <w:rPr>
          <w:rFonts w:hint="eastAsia" w:ascii="宋体" w:hAnsi="宋体" w:eastAsia="宋体"/>
          <w:color w:val="auto"/>
          <w:spacing w:val="20"/>
          <w:sz w:val="28"/>
          <w:szCs w:val="28"/>
          <w:lang w:eastAsia="zh-CN"/>
        </w:rPr>
        <w:t>71</w:t>
      </w:r>
      <w:r>
        <w:rPr>
          <w:rFonts w:ascii="宋体" w:hAnsi="宋体" w:eastAsia="宋体"/>
          <w:color w:val="auto"/>
          <w:spacing w:val="20"/>
          <w:sz w:val="28"/>
          <w:szCs w:val="28"/>
          <w:lang w:eastAsia="zh-CN"/>
        </w:rPr>
        <w:t>=MC×0.</w:t>
      </w:r>
      <w:r>
        <w:rPr>
          <w:rFonts w:hint="eastAsia" w:ascii="宋体" w:hAnsi="宋体" w:eastAsia="宋体"/>
          <w:color w:val="auto"/>
          <w:spacing w:val="20"/>
          <w:sz w:val="28"/>
          <w:szCs w:val="28"/>
          <w:lang w:eastAsia="zh-CN"/>
        </w:rPr>
        <w:t>497</w:t>
      </w:r>
    </w:p>
    <w:p>
      <w:pPr>
        <w:spacing w:line="560" w:lineRule="exact"/>
        <w:ind w:firstLine="454" w:firstLineChars="142"/>
        <w:jc w:val="both"/>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结果详见下表：</w:t>
      </w:r>
    </w:p>
    <w:p>
      <w:pPr>
        <w:spacing w:line="560" w:lineRule="exact"/>
        <w:jc w:val="center"/>
        <w:rPr>
          <w:rFonts w:ascii="宋体" w:hAnsi="宋体" w:eastAsia="宋体"/>
          <w:b/>
          <w:color w:val="auto"/>
          <w:spacing w:val="20"/>
          <w:lang w:eastAsia="zh-CN"/>
        </w:rPr>
      </w:pPr>
      <w:r>
        <w:rPr>
          <w:rFonts w:ascii="宋体" w:hAnsi="宋体" w:eastAsia="宋体"/>
          <w:b/>
          <w:color w:val="auto"/>
          <w:spacing w:val="20"/>
          <w:lang w:eastAsia="zh-CN"/>
        </w:rPr>
        <w:t>火灾爆炸危险分析汇总表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8"/>
        <w:gridCol w:w="4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评价工艺单元</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eastAsia="zh-CN"/>
              </w:rPr>
              <w:t>库房一(仓库A)</w:t>
            </w:r>
            <w:r>
              <w:rPr>
                <w:rFonts w:hint="eastAsia" w:ascii="宋体" w:hAnsi="宋体" w:eastAsia="宋体" w:cs="宋体"/>
                <w:color w:val="auto"/>
                <w:kern w:val="2"/>
                <w:sz w:val="21"/>
                <w:szCs w:val="21"/>
                <w:lang w:val="en-GB"/>
              </w:rPr>
              <w:t>储存单元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代表性评价物质</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正己烷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物质系数(MF)</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危险指数F&amp;EI=F</w:t>
            </w:r>
            <w:r>
              <w:rPr>
                <w:rFonts w:hint="eastAsia" w:ascii="宋体" w:hAnsi="宋体" w:eastAsia="宋体" w:cs="宋体"/>
                <w:color w:val="auto"/>
                <w:kern w:val="2"/>
                <w:sz w:val="21"/>
                <w:szCs w:val="21"/>
                <w:vertAlign w:val="subscript"/>
                <w:lang w:val="en-GB"/>
              </w:rPr>
              <w:t>3</w:t>
            </w:r>
            <w:r>
              <w:rPr>
                <w:rFonts w:hint="eastAsia" w:ascii="宋体" w:hAnsi="宋体" w:eastAsia="宋体" w:cs="宋体"/>
                <w:color w:val="auto"/>
                <w:kern w:val="2"/>
                <w:sz w:val="21"/>
                <w:szCs w:val="21"/>
              </w:rPr>
              <w:t>×MF</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暴露半径</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潜在火灾爆炸危险等级</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安全补偿系数CF</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危害系数HF</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补偿后火灾爆炸指数</w:t>
            </w:r>
          </w:p>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F&amp;EI×CF</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补偿后暴露半径(R:m)</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实际火灾爆炸危险等级</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较轻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基本最大可能财产损失</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暴露区域内财产价值×0.70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9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实际最大可能财产损失</w:t>
            </w:r>
          </w:p>
        </w:tc>
        <w:tc>
          <w:tcPr>
            <w:tcW w:w="4602"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lang w:val="en-GB"/>
              </w:rPr>
            </w:pPr>
            <w:r>
              <w:rPr>
                <w:rFonts w:hint="eastAsia" w:ascii="宋体" w:hAnsi="宋体" w:eastAsia="宋体" w:cs="宋体"/>
                <w:color w:val="auto"/>
                <w:kern w:val="2"/>
                <w:sz w:val="21"/>
                <w:szCs w:val="21"/>
                <w:lang w:val="en-GB"/>
              </w:rPr>
              <w:t>暴露区域内财产价值×0.497</w:t>
            </w:r>
          </w:p>
        </w:tc>
      </w:tr>
    </w:tbl>
    <w:p>
      <w:pPr>
        <w:spacing w:line="560" w:lineRule="exact"/>
        <w:ind w:firstLine="640" w:firstLineChars="200"/>
        <w:jc w:val="both"/>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lang w:eastAsia="zh-CN"/>
        </w:rPr>
        <w:t>)火灾爆炸</w:t>
      </w:r>
      <w:r>
        <w:rPr>
          <w:rFonts w:hint="eastAsia" w:ascii="宋体" w:hAnsi="宋体" w:eastAsia="宋体"/>
          <w:color w:val="auto"/>
          <w:spacing w:val="20"/>
          <w:sz w:val="28"/>
          <w:szCs w:val="28"/>
          <w:lang w:eastAsia="zh-CN"/>
        </w:rPr>
        <w:t>指数</w:t>
      </w:r>
      <w:r>
        <w:rPr>
          <w:rFonts w:ascii="宋体" w:hAnsi="宋体" w:eastAsia="宋体"/>
          <w:color w:val="auto"/>
          <w:spacing w:val="20"/>
          <w:sz w:val="28"/>
          <w:szCs w:val="28"/>
          <w:lang w:eastAsia="zh-CN"/>
        </w:rPr>
        <w:t>危险等级</w:t>
      </w:r>
      <w:r>
        <w:rPr>
          <w:rFonts w:hint="eastAsia" w:ascii="宋体" w:hAnsi="宋体" w:eastAsia="宋体"/>
          <w:color w:val="auto"/>
          <w:spacing w:val="20"/>
          <w:sz w:val="28"/>
          <w:szCs w:val="28"/>
          <w:lang w:eastAsia="zh-CN"/>
        </w:rPr>
        <w:t>划分</w:t>
      </w:r>
    </w:p>
    <w:p>
      <w:pPr>
        <w:spacing w:line="560" w:lineRule="exact"/>
        <w:ind w:firstLine="454" w:firstLineChars="142"/>
        <w:jc w:val="both"/>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根据道化法(七版)火灾爆炸指数分级标准表的规定，火灾爆炸危险指数值与危险等级的对应关系如下表。</w:t>
      </w:r>
    </w:p>
    <w:p>
      <w:pPr>
        <w:spacing w:line="560" w:lineRule="exact"/>
        <w:jc w:val="center"/>
        <w:rPr>
          <w:rFonts w:ascii="宋体" w:hAnsi="宋体" w:eastAsia="宋体"/>
          <w:b/>
          <w:color w:val="auto"/>
          <w:spacing w:val="20"/>
          <w:lang w:eastAsia="zh-CN"/>
        </w:rPr>
      </w:pPr>
      <w:r>
        <w:rPr>
          <w:rFonts w:ascii="宋体" w:hAnsi="宋体" w:eastAsia="宋体"/>
          <w:b/>
          <w:color w:val="auto"/>
          <w:spacing w:val="20"/>
          <w:lang w:eastAsia="zh-CN"/>
        </w:rPr>
        <w:t>火灾爆炸危险指数F&amp;EI与危险等级的对应关系</w:t>
      </w:r>
    </w:p>
    <w:tbl>
      <w:tblPr>
        <w:tblStyle w:val="46"/>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1523"/>
        <w:gridCol w:w="1526"/>
        <w:gridCol w:w="1525"/>
        <w:gridCol w:w="1528"/>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4"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bCs/>
                <w:color w:val="auto"/>
                <w:kern w:val="21"/>
                <w:sz w:val="21"/>
                <w:szCs w:val="21"/>
                <w:lang w:val="en-US" w:eastAsia="zh-CN"/>
              </w:rPr>
            </w:pPr>
            <w:r>
              <w:rPr>
                <w:rFonts w:hint="eastAsia"/>
                <w:color w:val="auto"/>
                <w:kern w:val="21"/>
                <w:sz w:val="21"/>
                <w:szCs w:val="21"/>
                <w:lang w:val="en-US" w:eastAsia="zh-CN"/>
              </w:rPr>
              <w:t>F&amp;EI值</w:t>
            </w:r>
          </w:p>
        </w:tc>
        <w:tc>
          <w:tcPr>
            <w:tcW w:w="1523"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1～60</w:t>
            </w:r>
          </w:p>
        </w:tc>
        <w:tc>
          <w:tcPr>
            <w:tcW w:w="1526"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61～96</w:t>
            </w:r>
          </w:p>
        </w:tc>
        <w:tc>
          <w:tcPr>
            <w:tcW w:w="1525"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97～127</w:t>
            </w:r>
          </w:p>
        </w:tc>
        <w:tc>
          <w:tcPr>
            <w:tcW w:w="1528"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128～158</w:t>
            </w:r>
          </w:p>
        </w:tc>
        <w:tc>
          <w:tcPr>
            <w:tcW w:w="1524"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4"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bCs/>
                <w:color w:val="auto"/>
                <w:kern w:val="21"/>
                <w:sz w:val="21"/>
                <w:szCs w:val="21"/>
                <w:lang w:val="en-US" w:eastAsia="zh-CN"/>
              </w:rPr>
            </w:pPr>
            <w:r>
              <w:rPr>
                <w:rFonts w:hint="eastAsia"/>
                <w:color w:val="auto"/>
                <w:kern w:val="21"/>
                <w:sz w:val="21"/>
                <w:szCs w:val="21"/>
                <w:lang w:val="en-US" w:eastAsia="zh-CN"/>
              </w:rPr>
              <w:t>危险等级</w:t>
            </w:r>
          </w:p>
        </w:tc>
        <w:tc>
          <w:tcPr>
            <w:tcW w:w="1523"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最轻</w:t>
            </w:r>
          </w:p>
        </w:tc>
        <w:tc>
          <w:tcPr>
            <w:tcW w:w="1526"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较轻</w:t>
            </w:r>
          </w:p>
        </w:tc>
        <w:tc>
          <w:tcPr>
            <w:tcW w:w="1525"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中等</w:t>
            </w:r>
          </w:p>
        </w:tc>
        <w:tc>
          <w:tcPr>
            <w:tcW w:w="1528"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很大</w:t>
            </w:r>
          </w:p>
        </w:tc>
        <w:tc>
          <w:tcPr>
            <w:tcW w:w="1524"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suppressLineNumbers w:val="0"/>
              <w:spacing w:before="0" w:beforeAutospacing="0" w:after="0" w:afterAutospacing="0"/>
              <w:ind w:left="0" w:right="0" w:firstLine="0" w:firstLineChars="0"/>
              <w:jc w:val="center"/>
              <w:rPr>
                <w:rFonts w:hint="default"/>
                <w:color w:val="auto"/>
                <w:kern w:val="21"/>
                <w:sz w:val="21"/>
                <w:szCs w:val="21"/>
                <w:lang w:val="en-US" w:eastAsia="zh-CN"/>
              </w:rPr>
            </w:pPr>
            <w:r>
              <w:rPr>
                <w:rFonts w:hint="eastAsia"/>
                <w:color w:val="auto"/>
                <w:kern w:val="21"/>
                <w:sz w:val="21"/>
                <w:szCs w:val="21"/>
                <w:lang w:val="en-US" w:eastAsia="zh-CN"/>
              </w:rPr>
              <w:t>非常大</w:t>
            </w:r>
          </w:p>
        </w:tc>
      </w:tr>
    </w:tbl>
    <w:p>
      <w:pPr>
        <w:spacing w:line="560" w:lineRule="exact"/>
        <w:jc w:val="both"/>
        <w:outlineLvl w:val="2"/>
        <w:rPr>
          <w:rFonts w:ascii="宋体" w:hAnsi="宋体" w:eastAsia="宋体" w:cs="Times New Roman"/>
          <w:bCs/>
          <w:color w:val="auto"/>
          <w:kern w:val="2"/>
          <w:sz w:val="28"/>
          <w:szCs w:val="28"/>
          <w:lang w:val="en-US" w:eastAsia="zh-CN" w:bidi="ar-SA"/>
        </w:rPr>
      </w:pPr>
      <w:bookmarkStart w:id="196" w:name="bookmark152"/>
      <w:r>
        <w:rPr>
          <w:rFonts w:ascii="宋体" w:hAnsi="宋体" w:eastAsia="宋体" w:cs="Times New Roman"/>
          <w:bCs/>
          <w:color w:val="auto"/>
          <w:kern w:val="2"/>
          <w:sz w:val="28"/>
          <w:szCs w:val="28"/>
          <w:lang w:val="en-US" w:eastAsia="zh-CN" w:bidi="ar-SA"/>
        </w:rPr>
        <w:t>2.3.3道化学分析总结</w:t>
      </w:r>
      <w:bookmarkEnd w:id="196"/>
    </w:p>
    <w:p>
      <w:pPr>
        <w:spacing w:line="560" w:lineRule="exact"/>
        <w:ind w:firstLine="397" w:firstLineChars="142"/>
        <w:jc w:val="both"/>
        <w:rPr>
          <w:rFonts w:hint="eastAsia" w:ascii="宋体" w:hAnsi="宋体" w:eastAsia="宋体" w:cs="宋体"/>
          <w:color w:val="auto"/>
          <w:sz w:val="28"/>
          <w:szCs w:val="28"/>
          <w:lang w:val="en-GB"/>
        </w:rPr>
      </w:pPr>
      <w:r>
        <w:rPr>
          <w:rFonts w:hint="eastAsia" w:ascii="宋体" w:hAnsi="宋体" w:eastAsia="宋体" w:cs="宋体"/>
          <w:color w:val="auto"/>
          <w:sz w:val="28"/>
          <w:szCs w:val="28"/>
          <w:lang w:val="en-GB"/>
        </w:rPr>
        <w:t>(1)从以上评价分析可知，</w:t>
      </w:r>
      <w:r>
        <w:rPr>
          <w:rFonts w:hint="eastAsia" w:ascii="宋体" w:hAnsi="宋体" w:eastAsia="宋体" w:cs="宋体"/>
          <w:color w:val="auto"/>
          <w:sz w:val="28"/>
          <w:szCs w:val="28"/>
          <w:lang w:val="en-GB" w:eastAsia="zh-CN"/>
        </w:rPr>
        <w:t>库房一(仓库A)</w:t>
      </w:r>
      <w:r>
        <w:rPr>
          <w:rFonts w:hint="eastAsia" w:ascii="宋体" w:hAnsi="宋体" w:eastAsia="宋体" w:cs="宋体"/>
          <w:color w:val="auto"/>
          <w:sz w:val="28"/>
          <w:szCs w:val="28"/>
          <w:lang w:val="en-GB"/>
        </w:rPr>
        <w:t>储存单元的火灾爆炸危险指数为122，火灾爆炸危险等级处于“中等”的程度，暴露半径为31.2m。</w:t>
      </w:r>
    </w:p>
    <w:p>
      <w:pPr>
        <w:spacing w:line="560" w:lineRule="exact"/>
        <w:ind w:firstLine="397" w:firstLineChars="142"/>
        <w:jc w:val="both"/>
        <w:rPr>
          <w:rFonts w:hint="eastAsia" w:ascii="宋体" w:hAnsi="宋体" w:eastAsia="宋体" w:cs="宋体"/>
          <w:color w:val="auto"/>
          <w:sz w:val="28"/>
          <w:szCs w:val="28"/>
          <w:lang w:val="en-GB"/>
        </w:rPr>
      </w:pPr>
      <w:r>
        <w:rPr>
          <w:rFonts w:hint="eastAsia" w:ascii="宋体" w:hAnsi="宋体" w:eastAsia="宋体" w:cs="宋体"/>
          <w:color w:val="auto"/>
          <w:sz w:val="28"/>
          <w:szCs w:val="28"/>
          <w:lang w:val="en-GB"/>
        </w:rPr>
        <w:t>(2)经过采取安全措施补偿后，</w:t>
      </w:r>
      <w:r>
        <w:rPr>
          <w:rFonts w:hint="eastAsia" w:ascii="宋体" w:hAnsi="宋体" w:eastAsia="宋体" w:cs="宋体"/>
          <w:color w:val="auto"/>
          <w:sz w:val="28"/>
          <w:szCs w:val="28"/>
          <w:lang w:val="en-GB" w:eastAsia="zh-CN"/>
        </w:rPr>
        <w:t>库房一(仓库A)</w:t>
      </w:r>
      <w:r>
        <w:rPr>
          <w:rFonts w:hint="eastAsia" w:ascii="宋体" w:hAnsi="宋体" w:eastAsia="宋体" w:cs="宋体"/>
          <w:color w:val="auto"/>
          <w:sz w:val="28"/>
          <w:szCs w:val="28"/>
          <w:lang w:val="en-GB"/>
        </w:rPr>
        <w:t>储存单元火灾爆炸危险指数为87，火灾爆炸危险等级为“较轻”程度，暴露半径22.3m。</w:t>
      </w:r>
    </w:p>
    <w:p>
      <w:pPr>
        <w:spacing w:line="560" w:lineRule="exact"/>
        <w:ind w:firstLine="397" w:firstLineChars="142"/>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GB"/>
        </w:rPr>
        <w:t>(3)</w:t>
      </w:r>
      <w:r>
        <w:rPr>
          <w:rFonts w:hint="eastAsia" w:ascii="宋体" w:hAnsi="宋体" w:eastAsia="宋体" w:cs="宋体"/>
          <w:color w:val="auto"/>
          <w:sz w:val="28"/>
          <w:szCs w:val="28"/>
        </w:rPr>
        <w:t>从以上的计算分析中可以看出，</w:t>
      </w:r>
      <w:r>
        <w:rPr>
          <w:rFonts w:hint="eastAsia" w:ascii="宋体" w:hAnsi="宋体" w:eastAsia="宋体" w:cs="宋体"/>
          <w:color w:val="auto"/>
          <w:sz w:val="28"/>
          <w:szCs w:val="28"/>
          <w:lang w:val="en-GB" w:eastAsia="zh-CN"/>
        </w:rPr>
        <w:t>库房一(仓库A)</w:t>
      </w:r>
      <w:r>
        <w:rPr>
          <w:rFonts w:hint="eastAsia" w:ascii="宋体" w:hAnsi="宋体" w:eastAsia="宋体" w:cs="宋体"/>
          <w:color w:val="auto"/>
          <w:sz w:val="28"/>
          <w:szCs w:val="28"/>
          <w:lang w:val="en-GB"/>
        </w:rPr>
        <w:t>储存单元</w:t>
      </w:r>
      <w:r>
        <w:rPr>
          <w:rFonts w:hint="eastAsia" w:ascii="宋体" w:hAnsi="宋体" w:eastAsia="宋体" w:cs="宋体"/>
          <w:color w:val="auto"/>
          <w:sz w:val="28"/>
          <w:szCs w:val="28"/>
        </w:rPr>
        <w:t>固有的火灾爆炸危险等级在安全措施补偿后，危险程度得到一定程度的降低，说明现有的安全措施是有效的，它不仅能预防严重事故发生，也能降低事故的发生概率和危害。因此，这些安全措施一定要得到保障，并不断完善。同时要加强操作检查，严格遵守操作规程，防止泄漏，防止火灾爆炸事故或人员中毒事故的发生。</w:t>
      </w:r>
      <w:bookmarkStart w:id="197" w:name="bookmark153"/>
      <w:bookmarkStart w:id="198" w:name="bookmark154"/>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99" w:name="_Toc6480"/>
      <w:r>
        <w:rPr>
          <w:rFonts w:ascii="楷体_GB2312" w:hAnsi="Times New Roman" w:eastAsia="楷体_GB2312" w:cs="Times New Roman"/>
          <w:bCs/>
          <w:color w:val="auto"/>
          <w:kern w:val="2"/>
          <w:sz w:val="32"/>
          <w:lang w:val="en-US" w:eastAsia="zh-CN" w:bidi="ar-SA"/>
        </w:rPr>
        <w:t>附件2.</w:t>
      </w:r>
      <w:r>
        <w:rPr>
          <w:rFonts w:hint="eastAsia" w:ascii="楷体_GB2312" w:hAnsi="Times New Roman" w:eastAsia="楷体_GB2312" w:cs="Times New Roman"/>
          <w:bCs/>
          <w:color w:val="auto"/>
          <w:kern w:val="2"/>
          <w:sz w:val="32"/>
          <w:lang w:val="en-US" w:eastAsia="zh-CN" w:bidi="ar-SA"/>
        </w:rPr>
        <w:t>4危险度评价法</w:t>
      </w:r>
      <w:bookmarkEnd w:id="199"/>
    </w:p>
    <w:p>
      <w:pPr>
        <w:spacing w:line="560" w:lineRule="exact"/>
        <w:ind w:firstLine="397" w:firstLineChars="142"/>
        <w:jc w:val="both"/>
        <w:rPr>
          <w:rFonts w:ascii="宋体" w:hAnsi="宋体" w:eastAsia="宋体" w:cs="宋体"/>
          <w:color w:val="auto"/>
          <w:sz w:val="28"/>
          <w:szCs w:val="28"/>
          <w:lang w:eastAsia="zh-CN"/>
        </w:rPr>
      </w:pPr>
      <w:r>
        <w:rPr>
          <w:rFonts w:hint="eastAsia" w:ascii="宋体" w:hAnsi="宋体" w:eastAsia="宋体" w:cs="宋体"/>
          <w:color w:val="auto"/>
          <w:sz w:val="28"/>
          <w:szCs w:val="28"/>
        </w:rPr>
        <w:t>本次评价根据《广东省安全生产监督管理局关于做好危险化学品和烟花爆竹领域风险点危险源排查管控工作的通知》(粤安监〔2016〕121号)的内容，对企业进行定量、定性和综合评定，确定企业危险度等级。</w:t>
      </w:r>
    </w:p>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12危险度评价取值表</w:t>
      </w:r>
    </w:p>
    <w:tbl>
      <w:tblPr>
        <w:tblStyle w:val="46"/>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1499"/>
        <w:gridCol w:w="2388"/>
        <w:gridCol w:w="1842"/>
        <w:gridCol w:w="1984"/>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jc w:val="center"/>
        </w:trPr>
        <w:tc>
          <w:tcPr>
            <w:tcW w:w="1499" w:type="dxa"/>
            <w:vMerge w:val="restart"/>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项 目</w:t>
            </w:r>
          </w:p>
        </w:tc>
        <w:tc>
          <w:tcPr>
            <w:tcW w:w="7685" w:type="dxa"/>
            <w:gridSpan w:val="4"/>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分   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jc w:val="center"/>
        </w:trPr>
        <w:tc>
          <w:tcPr>
            <w:tcW w:w="1499" w:type="dxa"/>
            <w:vMerge w:val="continue"/>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p>
        </w:tc>
        <w:tc>
          <w:tcPr>
            <w:tcW w:w="2388"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（10分）</w:t>
            </w:r>
          </w:p>
        </w:tc>
        <w:tc>
          <w:tcPr>
            <w:tcW w:w="1842"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（5分）</w:t>
            </w:r>
          </w:p>
        </w:tc>
        <w:tc>
          <w:tcPr>
            <w:tcW w:w="1984"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（2分）</w:t>
            </w:r>
          </w:p>
        </w:tc>
        <w:tc>
          <w:tcPr>
            <w:tcW w:w="1471"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物质（系指单位中危险、有害程度最大之物质）</w:t>
            </w:r>
          </w:p>
        </w:tc>
        <w:tc>
          <w:tcPr>
            <w:tcW w:w="2388"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1.甲类可燃气体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2.甲A类物质及液体烃类</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3.甲类固体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4.极度危害介质</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5.重点监管危险化学品</w:t>
            </w:r>
          </w:p>
        </w:tc>
        <w:tc>
          <w:tcPr>
            <w:tcW w:w="1842"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1.乙类可燃气体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2.甲B、乙A类可燃液体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3.乙类固体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4.高度危害介质</w:t>
            </w:r>
          </w:p>
        </w:tc>
        <w:tc>
          <w:tcPr>
            <w:tcW w:w="1984"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1.乙B、丙A、丙B类可燃液体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2.丙类固体</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3.中、轻度危害介质</w:t>
            </w:r>
          </w:p>
        </w:tc>
        <w:tc>
          <w:tcPr>
            <w:tcW w:w="1471"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不属于左侧物质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容量</w:t>
            </w:r>
          </w:p>
        </w:tc>
        <w:tc>
          <w:tcPr>
            <w:tcW w:w="2388"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R≥50（一、二级重大危险源）</w:t>
            </w:r>
          </w:p>
        </w:tc>
        <w:tc>
          <w:tcPr>
            <w:tcW w:w="1842"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R＜50（三、四级重大危险源）</w:t>
            </w:r>
          </w:p>
        </w:tc>
        <w:tc>
          <w:tcPr>
            <w:tcW w:w="1984"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0.1≤q/Q＜1</w:t>
            </w:r>
          </w:p>
        </w:tc>
        <w:tc>
          <w:tcPr>
            <w:tcW w:w="1471"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q/Q＜0.1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温 度</w:t>
            </w:r>
          </w:p>
        </w:tc>
        <w:tc>
          <w:tcPr>
            <w:tcW w:w="2388"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其操作温度超过1000℃，且高于介质的燃点。</w:t>
            </w:r>
          </w:p>
        </w:tc>
        <w:tc>
          <w:tcPr>
            <w:tcW w:w="1842"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1.其操作温度超过1000℃但低于介质的燃点；</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2.其操作温度在250～1000℃，且高于介质的燃点。</w:t>
            </w:r>
          </w:p>
        </w:tc>
        <w:tc>
          <w:tcPr>
            <w:tcW w:w="1984"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1.其操作温度在250～1000℃，且低于介质的燃点；</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2.操作温度低于250℃，但高于介质的燃点。</w:t>
            </w:r>
          </w:p>
        </w:tc>
        <w:tc>
          <w:tcPr>
            <w:tcW w:w="1471"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操作温度低于250℃，且低于介质的燃点。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压 力</w:t>
            </w:r>
          </w:p>
        </w:tc>
        <w:tc>
          <w:tcPr>
            <w:tcW w:w="2388"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 xml:space="preserve">超过100MPa </w:t>
            </w:r>
          </w:p>
        </w:tc>
        <w:tc>
          <w:tcPr>
            <w:tcW w:w="1842"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 xml:space="preserve">20～100MPa </w:t>
            </w:r>
          </w:p>
        </w:tc>
        <w:tc>
          <w:tcPr>
            <w:tcW w:w="1984"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1～20MPa</w:t>
            </w:r>
          </w:p>
        </w:tc>
        <w:tc>
          <w:tcPr>
            <w:tcW w:w="1471"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1MPa以下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工艺</w:t>
            </w:r>
          </w:p>
        </w:tc>
        <w:tc>
          <w:tcPr>
            <w:tcW w:w="2388"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1.临界放热和特别剧烈的放热反应操作；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2.在爆炸极限范围内或其附近操作。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3、涉及硝化、强氧化、磺化、卤化、氟化、重氮化、加氢反应等反应操作。</w:t>
            </w:r>
          </w:p>
        </w:tc>
        <w:tc>
          <w:tcPr>
            <w:tcW w:w="1842"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1.中等放热反应（如烷基化、酯化、加成、氧化、聚合、缩合等反应）操作；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2.系统进入空气或不纯物质，可能发生危险的操作；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3.使用粉状或雾状物质，有可能发生粉尘爆炸的操作；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4.单批式操作。</w:t>
            </w:r>
          </w:p>
        </w:tc>
        <w:tc>
          <w:tcPr>
            <w:tcW w:w="1984"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1.轻微放热反应（如水合、异构化、中和等反应）操作；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2.在精制过程中伴有化学反应；</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3.单批式操作，但部分使用机械等手段进行程序操作；</w:t>
            </w:r>
          </w:p>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4.有一定危险的操作。</w:t>
            </w:r>
          </w:p>
        </w:tc>
        <w:tc>
          <w:tcPr>
            <w:tcW w:w="1471" w:type="dxa"/>
            <w:vAlign w:val="center"/>
          </w:tcPr>
          <w:p>
            <w:pPr>
              <w:pStyle w:val="19"/>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sz w:val="21"/>
                <w:szCs w:val="21"/>
              </w:rPr>
            </w:pPr>
            <w:r>
              <w:rPr>
                <w:rFonts w:hint="eastAsia" w:ascii="宋体" w:hAnsi="宋体" w:cs="宋体"/>
                <w:color w:val="auto"/>
                <w:sz w:val="21"/>
                <w:szCs w:val="21"/>
              </w:rPr>
              <w:t>不属于左侧工艺</w:t>
            </w:r>
          </w:p>
        </w:tc>
      </w:tr>
    </w:tbl>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13危险度分级</w:t>
      </w:r>
    </w:p>
    <w:tbl>
      <w:tblPr>
        <w:tblStyle w:val="4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0"/>
        <w:gridCol w:w="1687"/>
        <w:gridCol w:w="1687"/>
        <w:gridCol w:w="2041"/>
        <w:gridCol w:w="2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总分值</w:t>
            </w:r>
          </w:p>
        </w:tc>
        <w:tc>
          <w:tcPr>
            <w:tcW w:w="168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 xml:space="preserve">≥21 </w:t>
            </w:r>
          </w:p>
        </w:tc>
        <w:tc>
          <w:tcPr>
            <w:tcW w:w="168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16≤分值≤20</w:t>
            </w:r>
          </w:p>
        </w:tc>
        <w:tc>
          <w:tcPr>
            <w:tcW w:w="2041"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11≤分值≤15</w:t>
            </w:r>
          </w:p>
        </w:tc>
        <w:tc>
          <w:tcPr>
            <w:tcW w:w="2041"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等级</w:t>
            </w:r>
          </w:p>
        </w:tc>
        <w:tc>
          <w:tcPr>
            <w:tcW w:w="168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红色等级</w:t>
            </w:r>
          </w:p>
        </w:tc>
        <w:tc>
          <w:tcPr>
            <w:tcW w:w="168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橙色等级</w:t>
            </w:r>
          </w:p>
        </w:tc>
        <w:tc>
          <w:tcPr>
            <w:tcW w:w="2041"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黄色等级</w:t>
            </w:r>
          </w:p>
        </w:tc>
        <w:tc>
          <w:tcPr>
            <w:tcW w:w="2041"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蓝色等级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危险程度</w:t>
            </w:r>
          </w:p>
        </w:tc>
        <w:tc>
          <w:tcPr>
            <w:tcW w:w="168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非常高度危险</w:t>
            </w:r>
          </w:p>
        </w:tc>
        <w:tc>
          <w:tcPr>
            <w:tcW w:w="168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高度危险</w:t>
            </w:r>
          </w:p>
        </w:tc>
        <w:tc>
          <w:tcPr>
            <w:tcW w:w="2041"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中度危险</w:t>
            </w:r>
          </w:p>
        </w:tc>
        <w:tc>
          <w:tcPr>
            <w:tcW w:w="2041"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低度危险</w:t>
            </w:r>
          </w:p>
        </w:tc>
      </w:tr>
    </w:tbl>
    <w:p>
      <w:pPr>
        <w:spacing w:line="560" w:lineRule="exact"/>
        <w:ind w:firstLine="560" w:firstLineChars="200"/>
        <w:jc w:val="both"/>
        <w:rPr>
          <w:rFonts w:ascii="宋体" w:hAnsi="宋体" w:eastAsia="宋体" w:cs="宋体"/>
          <w:color w:val="auto"/>
          <w:sz w:val="28"/>
          <w:szCs w:val="28"/>
        </w:rPr>
      </w:pPr>
      <w:r>
        <w:rPr>
          <w:rFonts w:hint="eastAsia" w:ascii="宋体" w:hAnsi="宋体" w:eastAsia="宋体" w:cs="宋体"/>
          <w:color w:val="auto"/>
          <w:sz w:val="28"/>
          <w:szCs w:val="28"/>
        </w:rPr>
        <w:t>根据该公司生产工艺装置、储存设施特点，把</w:t>
      </w:r>
      <w:r>
        <w:rPr>
          <w:rFonts w:hint="eastAsia" w:ascii="宋体" w:hAnsi="宋体" w:eastAsia="宋体" w:cs="宋体"/>
          <w:color w:val="auto"/>
          <w:sz w:val="28"/>
          <w:szCs w:val="28"/>
          <w:lang w:eastAsia="zh-CN"/>
        </w:rPr>
        <w:t>厂房四（厂房C）、库房一(仓库A)</w:t>
      </w:r>
      <w:r>
        <w:rPr>
          <w:rFonts w:hint="eastAsia" w:ascii="宋体" w:hAnsi="宋体" w:eastAsia="宋体" w:cs="宋体"/>
          <w:color w:val="auto"/>
          <w:sz w:val="28"/>
          <w:szCs w:val="28"/>
        </w:rPr>
        <w:t>划分为</w:t>
      </w:r>
      <w:r>
        <w:rPr>
          <w:rFonts w:hint="eastAsia" w:ascii="宋体" w:hAnsi="宋体" w:eastAsia="宋体" w:cs="宋体"/>
          <w:color w:val="auto"/>
          <w:sz w:val="28"/>
          <w:szCs w:val="28"/>
          <w:lang w:eastAsia="zh-CN"/>
        </w:rPr>
        <w:t>2</w:t>
      </w:r>
      <w:r>
        <w:rPr>
          <w:rFonts w:hint="eastAsia" w:ascii="宋体" w:hAnsi="宋体" w:eastAsia="宋体" w:cs="宋体"/>
          <w:color w:val="auto"/>
          <w:sz w:val="28"/>
          <w:szCs w:val="28"/>
        </w:rPr>
        <w:t>个独立单元，对其危险度进行分析评价，其结果分别见</w:t>
      </w:r>
      <w:r>
        <w:rPr>
          <w:rFonts w:hint="eastAsia" w:ascii="宋体" w:hAnsi="宋体" w:eastAsia="宋体" w:cs="宋体"/>
          <w:color w:val="auto"/>
          <w:sz w:val="28"/>
          <w:szCs w:val="28"/>
          <w:lang w:eastAsia="zh-CN"/>
        </w:rPr>
        <w:t>附表</w:t>
      </w:r>
      <w:r>
        <w:rPr>
          <w:rFonts w:hint="eastAsia" w:ascii="宋体" w:hAnsi="宋体" w:eastAsia="宋体" w:cs="宋体"/>
          <w:color w:val="auto"/>
          <w:sz w:val="28"/>
          <w:szCs w:val="28"/>
        </w:rPr>
        <w:t>表</w:t>
      </w:r>
      <w:r>
        <w:rPr>
          <w:rFonts w:hint="eastAsia" w:ascii="宋体" w:hAnsi="宋体" w:eastAsia="宋体" w:cs="宋体"/>
          <w:color w:val="auto"/>
          <w:sz w:val="28"/>
          <w:szCs w:val="28"/>
          <w:lang w:eastAsia="zh-CN"/>
        </w:rPr>
        <w:t>2-14、2-15和2-16</w:t>
      </w:r>
      <w:r>
        <w:rPr>
          <w:rFonts w:hint="eastAsia" w:ascii="宋体" w:hAnsi="宋体" w:eastAsia="宋体" w:cs="宋体"/>
          <w:color w:val="auto"/>
          <w:sz w:val="28"/>
          <w:szCs w:val="28"/>
        </w:rPr>
        <w:t>。</w:t>
      </w:r>
    </w:p>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14危险度评价分析表</w:t>
      </w:r>
    </w:p>
    <w:tbl>
      <w:tblPr>
        <w:tblStyle w:val="46"/>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440"/>
        <w:gridCol w:w="1744"/>
        <w:gridCol w:w="2203"/>
        <w:gridCol w:w="1122"/>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default" w:cs="宋体"/>
                <w:color w:val="auto"/>
                <w:sz w:val="21"/>
              </w:rPr>
              <w:pict>
                <v:line id="直线 657" o:spid="_x0000_s1622" o:spt="20" style="position:absolute;left:0pt;margin-left:-5.5pt;margin-top:2.05pt;height:29pt;width:78pt;z-index:251662336;mso-width-relative:page;mso-height-relative:page;" filled="t" coordsize="21600,21600">
                  <v:path arrowok="t"/>
                  <v:fill on="t" focussize="0,0"/>
                  <v:stroke/>
                  <v:imagedata o:title=""/>
                  <o:lock v:ext="edit"/>
                </v:line>
              </w:pict>
            </w:r>
            <w:r>
              <w:rPr>
                <w:rFonts w:hint="eastAsia" w:cs="宋体"/>
                <w:color w:val="auto"/>
                <w:sz w:val="21"/>
              </w:rPr>
              <w:t xml:space="preserve">  条件</w:t>
            </w:r>
          </w:p>
          <w:p>
            <w:pPr>
              <w:pStyle w:val="19"/>
              <w:keepNext w:val="0"/>
              <w:keepLines w:val="0"/>
              <w:suppressLineNumbers w:val="0"/>
              <w:adjustRightInd w:val="0"/>
              <w:snapToGrid w:val="0"/>
              <w:spacing w:before="0" w:beforeAutospacing="0" w:after="0" w:afterAutospacing="0"/>
              <w:ind w:left="0" w:right="0"/>
              <w:rPr>
                <w:rFonts w:hint="default" w:cs="宋体"/>
                <w:color w:val="auto"/>
                <w:sz w:val="21"/>
              </w:rPr>
            </w:pPr>
            <w:r>
              <w:rPr>
                <w:rFonts w:hint="eastAsia" w:cs="宋体"/>
                <w:color w:val="auto"/>
                <w:sz w:val="21"/>
              </w:rPr>
              <w:t>单元</w:t>
            </w:r>
          </w:p>
        </w:tc>
        <w:tc>
          <w:tcPr>
            <w:tcW w:w="144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物质</w:t>
            </w:r>
          </w:p>
        </w:tc>
        <w:tc>
          <w:tcPr>
            <w:tcW w:w="1744"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容量</w:t>
            </w:r>
          </w:p>
        </w:tc>
        <w:tc>
          <w:tcPr>
            <w:tcW w:w="2203"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温度</w:t>
            </w:r>
          </w:p>
        </w:tc>
        <w:tc>
          <w:tcPr>
            <w:tcW w:w="1122"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压力</w:t>
            </w:r>
          </w:p>
        </w:tc>
        <w:tc>
          <w:tcPr>
            <w:tcW w:w="122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eastAsia="宋体" w:cs="宋体"/>
                <w:color w:val="auto"/>
                <w:sz w:val="21"/>
                <w:lang w:eastAsia="zh-CN"/>
              </w:rPr>
            </w:pPr>
            <w:r>
              <w:rPr>
                <w:rFonts w:hint="eastAsia" w:cs="宋体"/>
                <w:color w:val="auto"/>
                <w:sz w:val="21"/>
                <w:lang w:eastAsia="zh-CN"/>
              </w:rPr>
              <w:t>厂房四（厂房C）</w:t>
            </w:r>
          </w:p>
        </w:tc>
        <w:tc>
          <w:tcPr>
            <w:tcW w:w="144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重点监管危险化学品</w:t>
            </w:r>
          </w:p>
        </w:tc>
        <w:tc>
          <w:tcPr>
            <w:tcW w:w="1744"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q/Q＜0.1</w:t>
            </w:r>
          </w:p>
        </w:tc>
        <w:tc>
          <w:tcPr>
            <w:tcW w:w="2203"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操作温度低于250℃，且低于介质的燃点。</w:t>
            </w:r>
          </w:p>
        </w:tc>
        <w:tc>
          <w:tcPr>
            <w:tcW w:w="1122"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1MPa以下</w:t>
            </w:r>
          </w:p>
        </w:tc>
        <w:tc>
          <w:tcPr>
            <w:tcW w:w="122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有一定危险的操作。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eastAsia="宋体" w:cs="宋体"/>
                <w:color w:val="auto"/>
                <w:sz w:val="21"/>
                <w:lang w:eastAsia="zh-CN"/>
              </w:rPr>
            </w:pPr>
            <w:r>
              <w:rPr>
                <w:rFonts w:hint="eastAsia" w:cs="宋体"/>
                <w:color w:val="auto"/>
                <w:sz w:val="21"/>
                <w:lang w:eastAsia="zh-CN"/>
              </w:rPr>
              <w:t>库房一(仓库A)</w:t>
            </w:r>
          </w:p>
        </w:tc>
        <w:tc>
          <w:tcPr>
            <w:tcW w:w="144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重点监管危险化学品</w:t>
            </w:r>
          </w:p>
        </w:tc>
        <w:tc>
          <w:tcPr>
            <w:tcW w:w="1744"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0.1≤q/Q＜1</w:t>
            </w:r>
          </w:p>
        </w:tc>
        <w:tc>
          <w:tcPr>
            <w:tcW w:w="2203"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操作温度低于250℃，且低于介质的燃点。</w:t>
            </w:r>
          </w:p>
        </w:tc>
        <w:tc>
          <w:tcPr>
            <w:tcW w:w="1122"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1MPa以下</w:t>
            </w:r>
          </w:p>
        </w:tc>
        <w:tc>
          <w:tcPr>
            <w:tcW w:w="122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有一定危险的操作。</w:t>
            </w:r>
          </w:p>
        </w:tc>
      </w:tr>
    </w:tbl>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15各单元危险度值表</w:t>
      </w:r>
    </w:p>
    <w:tbl>
      <w:tblPr>
        <w:tblStyle w:val="46"/>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1260"/>
        <w:gridCol w:w="1205"/>
        <w:gridCol w:w="1519"/>
        <w:gridCol w:w="1519"/>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default" w:cs="宋体"/>
                <w:color w:val="auto"/>
                <w:sz w:val="21"/>
              </w:rPr>
              <w:pict>
                <v:line id="__TH_L606" o:spid="_x0000_s1621" o:spt="20" style="position:absolute;left:0pt;margin-left:-4.75pt;margin-top:1.05pt;height:29.5pt;width:112.75pt;z-index:251661312;mso-width-relative:page;mso-height-relative:page;" coordsize="21600,21600">
                  <v:path arrowok="t"/>
                  <v:fill focussize="0,0"/>
                  <v:stroke weight="0.5pt"/>
                  <v:imagedata o:title=""/>
                  <o:lock v:ext="edit"/>
                </v:line>
              </w:pict>
            </w:r>
            <w:r>
              <w:rPr>
                <w:rFonts w:hint="eastAsia" w:cs="宋体"/>
                <w:color w:val="auto"/>
                <w:sz w:val="21"/>
              </w:rPr>
              <w:t xml:space="preserve">          单元     </w:t>
            </w:r>
          </w:p>
          <w:p>
            <w:pPr>
              <w:pStyle w:val="19"/>
              <w:keepNext w:val="0"/>
              <w:keepLines w:val="0"/>
              <w:suppressLineNumbers w:val="0"/>
              <w:adjustRightInd w:val="0"/>
              <w:snapToGrid w:val="0"/>
              <w:spacing w:before="0" w:beforeAutospacing="0" w:after="0" w:afterAutospacing="0"/>
              <w:ind w:left="0" w:right="0"/>
              <w:rPr>
                <w:rFonts w:hint="default" w:cs="宋体"/>
                <w:color w:val="auto"/>
                <w:sz w:val="21"/>
              </w:rPr>
            </w:pPr>
            <w:r>
              <w:rPr>
                <w:rFonts w:hint="eastAsia" w:cs="宋体"/>
                <w:color w:val="auto"/>
                <w:sz w:val="21"/>
              </w:rPr>
              <w:t xml:space="preserve">条件 </w:t>
            </w:r>
          </w:p>
        </w:tc>
        <w:tc>
          <w:tcPr>
            <w:tcW w:w="126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物质</w:t>
            </w:r>
          </w:p>
        </w:tc>
        <w:tc>
          <w:tcPr>
            <w:tcW w:w="1205"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容量</w:t>
            </w:r>
          </w:p>
        </w:tc>
        <w:tc>
          <w:tcPr>
            <w:tcW w:w="151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温度</w:t>
            </w:r>
          </w:p>
        </w:tc>
        <w:tc>
          <w:tcPr>
            <w:tcW w:w="151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压力</w:t>
            </w:r>
          </w:p>
        </w:tc>
        <w:tc>
          <w:tcPr>
            <w:tcW w:w="1515"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eastAsia="宋体" w:cs="宋体"/>
                <w:color w:val="auto"/>
                <w:sz w:val="21"/>
                <w:lang w:eastAsia="zh-CN"/>
              </w:rPr>
            </w:pPr>
            <w:r>
              <w:rPr>
                <w:rFonts w:hint="eastAsia" w:cs="宋体"/>
                <w:color w:val="auto"/>
                <w:sz w:val="21"/>
                <w:lang w:eastAsia="zh-CN"/>
              </w:rPr>
              <w:t>厂房四（厂房C）</w:t>
            </w:r>
          </w:p>
        </w:tc>
        <w:tc>
          <w:tcPr>
            <w:tcW w:w="126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10</w:t>
            </w:r>
          </w:p>
        </w:tc>
        <w:tc>
          <w:tcPr>
            <w:tcW w:w="1205"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0</w:t>
            </w:r>
          </w:p>
        </w:tc>
        <w:tc>
          <w:tcPr>
            <w:tcW w:w="151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0</w:t>
            </w:r>
          </w:p>
        </w:tc>
        <w:tc>
          <w:tcPr>
            <w:tcW w:w="151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0</w:t>
            </w:r>
          </w:p>
        </w:tc>
        <w:tc>
          <w:tcPr>
            <w:tcW w:w="1515"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eastAsia="宋体" w:cs="宋体"/>
                <w:color w:val="auto"/>
                <w:sz w:val="21"/>
                <w:lang w:eastAsia="zh-CN"/>
              </w:rPr>
            </w:pPr>
            <w:r>
              <w:rPr>
                <w:rFonts w:hint="eastAsia" w:cs="宋体"/>
                <w:color w:val="auto"/>
                <w:sz w:val="21"/>
                <w:lang w:eastAsia="zh-CN"/>
              </w:rPr>
              <w:t>库房一(仓库A)</w:t>
            </w:r>
          </w:p>
        </w:tc>
        <w:tc>
          <w:tcPr>
            <w:tcW w:w="1260"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10</w:t>
            </w:r>
          </w:p>
        </w:tc>
        <w:tc>
          <w:tcPr>
            <w:tcW w:w="1205"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2</w:t>
            </w:r>
          </w:p>
        </w:tc>
        <w:tc>
          <w:tcPr>
            <w:tcW w:w="151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0</w:t>
            </w:r>
          </w:p>
        </w:tc>
        <w:tc>
          <w:tcPr>
            <w:tcW w:w="151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0</w:t>
            </w:r>
          </w:p>
        </w:tc>
        <w:tc>
          <w:tcPr>
            <w:tcW w:w="1515"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2</w:t>
            </w:r>
          </w:p>
        </w:tc>
      </w:tr>
    </w:tbl>
    <w:p>
      <w:pPr>
        <w:spacing w:line="56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根据危险程度分级表，各单元的危险度等级见附表</w:t>
      </w:r>
      <w:r>
        <w:rPr>
          <w:rFonts w:hint="eastAsia" w:ascii="宋体" w:hAnsi="宋体" w:eastAsia="宋体" w:cs="宋体"/>
          <w:color w:val="auto"/>
          <w:sz w:val="28"/>
          <w:szCs w:val="28"/>
          <w:lang w:eastAsia="zh-CN"/>
        </w:rPr>
        <w:t>2-16</w:t>
      </w:r>
      <w:r>
        <w:rPr>
          <w:rFonts w:hint="eastAsia" w:ascii="宋体" w:hAnsi="宋体" w:eastAsia="宋体" w:cs="宋体"/>
          <w:color w:val="auto"/>
          <w:sz w:val="28"/>
          <w:szCs w:val="28"/>
        </w:rPr>
        <w:t>。</w:t>
      </w:r>
    </w:p>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15各单元危险程度等级</w:t>
      </w:r>
    </w:p>
    <w:tbl>
      <w:tblPr>
        <w:tblStyle w:val="46"/>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1393"/>
        <w:gridCol w:w="2366"/>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default" w:cs="宋体"/>
                <w:color w:val="auto"/>
                <w:sz w:val="21"/>
              </w:rPr>
              <w:pict>
                <v:line id="直线 658" o:spid="_x0000_s1623" o:spt="20" style="position:absolute;left:0pt;margin-left:-4.5pt;margin-top:1.7pt;height:31pt;width:113pt;z-index:251663360;mso-width-relative:page;mso-height-relative:page;" filled="t" coordsize="21600,21600">
                  <v:path arrowok="t"/>
                  <v:fill on="t" focussize="0,0"/>
                  <v:stroke/>
                  <v:imagedata o:title=""/>
                  <o:lock v:ext="edit"/>
                </v:line>
              </w:pict>
            </w:r>
            <w:r>
              <w:rPr>
                <w:rFonts w:hint="eastAsia" w:cs="宋体"/>
                <w:color w:val="auto"/>
                <w:sz w:val="21"/>
              </w:rPr>
              <w:t xml:space="preserve">           项目</w:t>
            </w:r>
          </w:p>
          <w:p>
            <w:pPr>
              <w:pStyle w:val="19"/>
              <w:keepNext w:val="0"/>
              <w:keepLines w:val="0"/>
              <w:suppressLineNumbers w:val="0"/>
              <w:adjustRightInd w:val="0"/>
              <w:snapToGrid w:val="0"/>
              <w:spacing w:before="0" w:beforeAutospacing="0" w:after="0" w:afterAutospacing="0"/>
              <w:ind w:left="0" w:right="0"/>
              <w:rPr>
                <w:rFonts w:hint="default" w:cs="宋体"/>
                <w:color w:val="auto"/>
                <w:sz w:val="21"/>
              </w:rPr>
            </w:pPr>
            <w:r>
              <w:rPr>
                <w:rFonts w:hint="eastAsia" w:cs="宋体"/>
                <w:color w:val="auto"/>
                <w:sz w:val="21"/>
              </w:rPr>
              <w:t>单元</w:t>
            </w:r>
          </w:p>
        </w:tc>
        <w:tc>
          <w:tcPr>
            <w:tcW w:w="1393"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分值</w:t>
            </w:r>
          </w:p>
        </w:tc>
        <w:tc>
          <w:tcPr>
            <w:tcW w:w="2366"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等  级</w:t>
            </w:r>
          </w:p>
        </w:tc>
        <w:tc>
          <w:tcPr>
            <w:tcW w:w="3259"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危险程度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eastAsia="宋体" w:cs="宋体"/>
                <w:color w:val="auto"/>
                <w:sz w:val="21"/>
                <w:lang w:eastAsia="zh-CN"/>
              </w:rPr>
            </w:pPr>
            <w:r>
              <w:rPr>
                <w:rFonts w:hint="eastAsia" w:cs="宋体"/>
                <w:color w:val="auto"/>
                <w:sz w:val="21"/>
                <w:lang w:eastAsia="zh-CN"/>
              </w:rPr>
              <w:t>厂房四（厂房C）</w:t>
            </w:r>
          </w:p>
        </w:tc>
        <w:tc>
          <w:tcPr>
            <w:tcW w:w="1393"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12</w:t>
            </w:r>
          </w:p>
        </w:tc>
        <w:tc>
          <w:tcPr>
            <w:tcW w:w="2366"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黄色等级</w:t>
            </w:r>
          </w:p>
        </w:tc>
        <w:tc>
          <w:tcPr>
            <w:tcW w:w="3259"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中度危险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val="0"/>
              <w:snapToGrid w:val="0"/>
              <w:spacing w:before="0" w:beforeAutospacing="0" w:after="0" w:afterAutospacing="0"/>
              <w:ind w:left="0" w:right="0"/>
              <w:jc w:val="center"/>
              <w:rPr>
                <w:rFonts w:hint="eastAsia" w:eastAsia="宋体" w:cs="宋体"/>
                <w:color w:val="auto"/>
                <w:sz w:val="21"/>
                <w:lang w:eastAsia="zh-CN"/>
              </w:rPr>
            </w:pPr>
            <w:r>
              <w:rPr>
                <w:rFonts w:hint="eastAsia" w:cs="宋体"/>
                <w:color w:val="auto"/>
                <w:sz w:val="21"/>
                <w:lang w:eastAsia="zh-CN"/>
              </w:rPr>
              <w:t>库房一(仓库A)</w:t>
            </w:r>
          </w:p>
        </w:tc>
        <w:tc>
          <w:tcPr>
            <w:tcW w:w="1393"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14</w:t>
            </w:r>
          </w:p>
        </w:tc>
        <w:tc>
          <w:tcPr>
            <w:tcW w:w="2366"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黄色等级</w:t>
            </w:r>
          </w:p>
        </w:tc>
        <w:tc>
          <w:tcPr>
            <w:tcW w:w="3259" w:type="dxa"/>
            <w:tcBorders>
              <w:top w:val="single" w:color="auto" w:sz="4" w:space="0"/>
              <w:left w:val="single" w:color="auto" w:sz="4" w:space="0"/>
              <w:bottom w:val="single" w:color="auto" w:sz="4" w:space="0"/>
              <w:right w:val="single" w:color="auto" w:sz="4" w:space="0"/>
            </w:tcBorders>
          </w:tcPr>
          <w:p>
            <w:pPr>
              <w:pStyle w:val="19"/>
              <w:keepNext w:val="0"/>
              <w:keepLines w:val="0"/>
              <w:suppressLineNumbers w:val="0"/>
              <w:adjustRightInd w:val="0"/>
              <w:snapToGrid w:val="0"/>
              <w:spacing w:before="0" w:beforeAutospacing="0" w:after="0" w:afterAutospacing="0"/>
              <w:ind w:left="0" w:right="0"/>
              <w:jc w:val="center"/>
              <w:rPr>
                <w:rFonts w:hint="default" w:cs="宋体"/>
                <w:color w:val="auto"/>
                <w:sz w:val="21"/>
              </w:rPr>
            </w:pPr>
            <w:r>
              <w:rPr>
                <w:rFonts w:hint="eastAsia" w:cs="宋体"/>
                <w:color w:val="auto"/>
                <w:sz w:val="21"/>
              </w:rPr>
              <w:t>中度危险</w:t>
            </w:r>
          </w:p>
        </w:tc>
      </w:tr>
    </w:tbl>
    <w:p>
      <w:pPr>
        <w:pStyle w:val="20"/>
        <w:spacing w:line="500" w:lineRule="exact"/>
        <w:ind w:firstLine="560" w:firstLineChars="200"/>
        <w:rPr>
          <w:rFonts w:cs="宋体"/>
          <w:color w:val="auto"/>
        </w:rPr>
      </w:pPr>
      <w:r>
        <w:rPr>
          <w:rFonts w:hint="eastAsia" w:cs="宋体"/>
          <w:color w:val="auto"/>
          <w:szCs w:val="28"/>
        </w:rPr>
        <w:t>通过危险度评价法分析结果可知，该公司</w:t>
      </w:r>
      <w:r>
        <w:rPr>
          <w:rFonts w:hint="eastAsia" w:cs="宋体"/>
          <w:color w:val="auto"/>
          <w:szCs w:val="28"/>
          <w:lang w:eastAsia="zh-CN"/>
        </w:rPr>
        <w:t>厂房四（厂房C）、库房一(仓库A)</w:t>
      </w:r>
      <w:r>
        <w:rPr>
          <w:rFonts w:hint="eastAsia" w:cs="宋体"/>
          <w:color w:val="auto"/>
          <w:szCs w:val="28"/>
        </w:rPr>
        <w:t>的危险等级均为黄色，危险程度为中度危险。</w:t>
      </w:r>
    </w:p>
    <w:p>
      <w:pPr>
        <w:spacing w:line="560" w:lineRule="exact"/>
        <w:ind w:firstLine="340" w:firstLineChars="142"/>
        <w:rPr>
          <w:rFonts w:ascii="宋体" w:hAnsi="宋体" w:eastAsia="宋体"/>
          <w:color w:val="auto"/>
          <w:spacing w:val="20"/>
          <w:sz w:val="28"/>
          <w:szCs w:val="28"/>
          <w:lang w:eastAsia="zh-CN"/>
        </w:rPr>
      </w:pPr>
      <w:r>
        <w:rPr>
          <w:color w:val="auto"/>
        </w:rPr>
        <w:br w:type="page"/>
      </w:r>
    </w:p>
    <w:p>
      <w:pPr>
        <w:pStyle w:val="3"/>
        <w:spacing w:after="120"/>
        <w:rPr>
          <w:snapToGrid/>
          <w:color w:val="auto"/>
        </w:rPr>
      </w:pPr>
      <w:bookmarkStart w:id="200" w:name="_Toc12535"/>
      <w:r>
        <w:rPr>
          <w:snapToGrid/>
          <w:color w:val="auto"/>
        </w:rPr>
        <w:t>附件3可能发生的危险化学品事故的后果预测</w:t>
      </w:r>
      <w:bookmarkEnd w:id="197"/>
      <w:bookmarkEnd w:id="198"/>
      <w:bookmarkEnd w:id="200"/>
    </w:p>
    <w:p>
      <w:pPr>
        <w:pStyle w:val="20"/>
        <w:spacing w:line="500" w:lineRule="exact"/>
        <w:ind w:firstLine="560" w:firstLineChars="200"/>
        <w:rPr>
          <w:rFonts w:hint="eastAsia" w:cs="宋体"/>
          <w:color w:val="auto"/>
          <w:szCs w:val="28"/>
          <w:lang w:eastAsia="zh-CN"/>
        </w:rPr>
      </w:pPr>
      <w:r>
        <w:rPr>
          <w:rFonts w:hint="eastAsia" w:cs="宋体"/>
          <w:color w:val="auto"/>
          <w:szCs w:val="28"/>
        </w:rPr>
        <w:t>针对该企业的可能发生的火灾、爆炸、中毒、窒息等危险化学品事故。依据预先危险性分析(PHA)法对该企业的工艺及设施进行分析，分析该企业在运行过程中可能出现的危险化学品事故、危险等级及后果，并针对可能出现的危险化学品事故，制定了相应的安全对策措施。评价范围内可能发生的的危险化学品事故后果预测以及对策措施如下</w:t>
      </w:r>
      <w:r>
        <w:rPr>
          <w:rFonts w:hint="eastAsia" w:cs="宋体"/>
          <w:color w:val="auto"/>
          <w:szCs w:val="28"/>
          <w:lang w:eastAsia="zh-CN"/>
        </w:rPr>
        <w:t>：</w:t>
      </w:r>
    </w:p>
    <w:p>
      <w:pPr>
        <w:spacing w:line="560" w:lineRule="exact"/>
        <w:jc w:val="center"/>
        <w:rPr>
          <w:rFonts w:ascii="宋体" w:hAnsi="宋体" w:eastAsia="宋体"/>
          <w:b/>
          <w:color w:val="auto"/>
          <w:spacing w:val="20"/>
          <w:lang w:eastAsia="zh-CN"/>
        </w:rPr>
      </w:pPr>
      <w:r>
        <w:rPr>
          <w:rFonts w:ascii="宋体" w:hAnsi="宋体" w:eastAsia="宋体"/>
          <w:b/>
          <w:color w:val="auto"/>
          <w:spacing w:val="20"/>
          <w:lang w:eastAsia="zh-CN"/>
        </w:rPr>
        <w:t>表附件3-1可能发生的危险化学品事故预测</w:t>
      </w:r>
    </w:p>
    <w:tbl>
      <w:tblPr>
        <w:tblStyle w:val="46"/>
        <w:tblW w:w="939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93"/>
        <w:gridCol w:w="780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可能出现的危险化学品事故</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中毒、窒息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危险因素</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w:t>
            </w:r>
            <w:r>
              <w:rPr>
                <w:rFonts w:hint="eastAsia" w:ascii="宋体" w:hAnsi="宋体" w:eastAsia="宋体"/>
                <w:color w:val="auto"/>
                <w:kern w:val="2"/>
                <w:sz w:val="21"/>
                <w:szCs w:val="21"/>
                <w:lang w:eastAsia="zh-CN"/>
              </w:rPr>
              <w:t>二甲苯异构体混合物、乙酸正丁酯、环己酮</w:t>
            </w:r>
            <w:r>
              <w:rPr>
                <w:rFonts w:hint="eastAsia" w:ascii="宋体" w:hAnsi="宋体" w:eastAsia="宋体"/>
                <w:color w:val="auto"/>
                <w:kern w:val="2"/>
                <w:sz w:val="21"/>
                <w:szCs w:val="21"/>
              </w:rPr>
              <w:t>等泄漏或其它有害原辅料、成品泄漏；</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2、设备、包装等破损以及检修、操作时工作人员直接接触到有毒、有害物料；</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3、作业环境毒物浓度超标；</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4、作业环境氧气含量不够。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触发事件一</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1、设备故障、管线阀门泄漏；</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2、储存系统泄漏(包装物破损，储存桶泄漏)；</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3、装卸、搬运作业中泄漏；</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4、违章操作，误操作造成泄漏；</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5、搅拌器检修时未清洗置换或清洗置换不彻底；</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6、检修时，密闭、半密闭容器内作业，未加强通风和氧含量检测、缺氧作业；</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7、储存环境恶劣，原料在阳光下暴晒、处于高温环境中等造成包装桶爆裂。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发生条件</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吸入、食入、皮肤接触有毒、有害物料。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触发事件二</w:t>
            </w:r>
          </w:p>
        </w:tc>
        <w:tc>
          <w:tcPr>
            <w:tcW w:w="7801" w:type="dxa"/>
            <w:vAlign w:val="center"/>
          </w:tcPr>
          <w:p>
            <w:pPr>
              <w:pStyle w:val="116"/>
              <w:keepNext w:val="0"/>
              <w:keepLines w:val="0"/>
              <w:suppressLineNumbers w:val="0"/>
              <w:spacing w:before="0" w:beforeAutospacing="0" w:after="0" w:afterAutospacing="0" w:line="360" w:lineRule="exact"/>
              <w:ind w:left="0" w:right="0"/>
              <w:jc w:val="both"/>
              <w:rPr>
                <w:rFonts w:hint="default"/>
                <w:color w:val="auto"/>
                <w:kern w:val="2"/>
                <w:sz w:val="21"/>
                <w:szCs w:val="21"/>
              </w:rPr>
            </w:pPr>
            <w:r>
              <w:rPr>
                <w:rFonts w:hint="eastAsia"/>
                <w:color w:val="auto"/>
                <w:kern w:val="2"/>
                <w:sz w:val="21"/>
                <w:szCs w:val="21"/>
              </w:rPr>
              <w:t>1、未戴防毒面具</w:t>
            </w:r>
          </w:p>
          <w:p>
            <w:pPr>
              <w:pStyle w:val="116"/>
              <w:keepNext w:val="0"/>
              <w:keepLines w:val="0"/>
              <w:suppressLineNumbers w:val="0"/>
              <w:spacing w:before="0" w:beforeAutospacing="0" w:after="0" w:afterAutospacing="0" w:line="360" w:lineRule="exact"/>
              <w:ind w:left="0" w:right="0"/>
              <w:jc w:val="both"/>
              <w:rPr>
                <w:rFonts w:hint="default"/>
                <w:color w:val="auto"/>
                <w:kern w:val="2"/>
                <w:sz w:val="21"/>
                <w:szCs w:val="21"/>
              </w:rPr>
            </w:pPr>
            <w:r>
              <w:rPr>
                <w:rFonts w:hint="eastAsia"/>
                <w:color w:val="auto"/>
                <w:kern w:val="2"/>
                <w:sz w:val="21"/>
                <w:szCs w:val="21"/>
              </w:rPr>
              <w:t>(1)无防毒面具；(2)取用不方便；(3)因故未戴，怕麻烦，缺乏防范知识和意识。</w:t>
            </w:r>
          </w:p>
          <w:p>
            <w:pPr>
              <w:pStyle w:val="116"/>
              <w:keepNext w:val="0"/>
              <w:keepLines w:val="0"/>
              <w:suppressLineNumbers w:val="0"/>
              <w:spacing w:before="0" w:beforeAutospacing="0" w:after="0" w:afterAutospacing="0" w:line="360" w:lineRule="exact"/>
              <w:ind w:left="0" w:right="0"/>
              <w:jc w:val="both"/>
              <w:rPr>
                <w:rFonts w:hint="default"/>
                <w:color w:val="auto"/>
                <w:kern w:val="2"/>
                <w:sz w:val="21"/>
                <w:szCs w:val="21"/>
              </w:rPr>
            </w:pPr>
            <w:r>
              <w:rPr>
                <w:rFonts w:hint="eastAsia"/>
                <w:color w:val="auto"/>
                <w:kern w:val="2"/>
                <w:sz w:val="21"/>
                <w:szCs w:val="21"/>
              </w:rPr>
              <w:t>2、防毒面具失效</w:t>
            </w:r>
          </w:p>
          <w:p>
            <w:pPr>
              <w:pStyle w:val="116"/>
              <w:keepNext w:val="0"/>
              <w:keepLines w:val="0"/>
              <w:suppressLineNumbers w:val="0"/>
              <w:spacing w:before="0" w:beforeAutospacing="0" w:after="0" w:afterAutospacing="0" w:line="360" w:lineRule="exact"/>
              <w:ind w:left="0" w:right="0"/>
              <w:jc w:val="both"/>
              <w:rPr>
                <w:rFonts w:hint="default"/>
                <w:color w:val="auto"/>
                <w:kern w:val="2"/>
                <w:sz w:val="21"/>
                <w:szCs w:val="21"/>
              </w:rPr>
            </w:pPr>
            <w:r>
              <w:rPr>
                <w:rFonts w:hint="eastAsia"/>
                <w:color w:val="auto"/>
                <w:kern w:val="2"/>
                <w:sz w:val="21"/>
                <w:szCs w:val="21"/>
              </w:rPr>
              <w:t>(1)面具破损、失效；(2)面具选型不对；(3)使用不当。</w:t>
            </w:r>
          </w:p>
          <w:p>
            <w:pPr>
              <w:pStyle w:val="116"/>
              <w:keepNext w:val="0"/>
              <w:keepLines w:val="0"/>
              <w:suppressLineNumbers w:val="0"/>
              <w:spacing w:before="0" w:beforeAutospacing="0" w:after="0" w:afterAutospacing="0" w:line="360" w:lineRule="exact"/>
              <w:ind w:left="0" w:right="0"/>
              <w:jc w:val="both"/>
              <w:rPr>
                <w:rFonts w:hint="default"/>
                <w:color w:val="auto"/>
                <w:kern w:val="2"/>
                <w:sz w:val="21"/>
                <w:szCs w:val="21"/>
              </w:rPr>
            </w:pPr>
            <w:r>
              <w:rPr>
                <w:rFonts w:hint="eastAsia"/>
                <w:color w:val="auto"/>
                <w:kern w:val="2"/>
                <w:sz w:val="21"/>
                <w:szCs w:val="21"/>
              </w:rPr>
              <w:t>3、有毒作业场所未采取通风措施或通风装置损坏；</w:t>
            </w:r>
          </w:p>
          <w:p>
            <w:pPr>
              <w:pStyle w:val="116"/>
              <w:keepNext w:val="0"/>
              <w:keepLines w:val="0"/>
              <w:suppressLineNumbers w:val="0"/>
              <w:spacing w:before="0" w:beforeAutospacing="0" w:after="0" w:afterAutospacing="0" w:line="360" w:lineRule="exact"/>
              <w:ind w:left="0" w:right="0"/>
              <w:jc w:val="both"/>
              <w:rPr>
                <w:rFonts w:hint="default"/>
                <w:color w:val="auto"/>
                <w:kern w:val="2"/>
                <w:sz w:val="21"/>
                <w:szCs w:val="21"/>
              </w:rPr>
            </w:pPr>
            <w:r>
              <w:rPr>
                <w:rFonts w:hint="eastAsia"/>
                <w:color w:val="auto"/>
                <w:kern w:val="2"/>
                <w:sz w:val="21"/>
                <w:szCs w:val="21"/>
              </w:rPr>
              <w:t>4、废气收集处理装置未开启或者装置损坏。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事故后果</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物料损失，导致人员中毒(窒息)</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一般后果：个体中毒，无伤亡。</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严重后果：群体中毒，造成人员伤亡。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危险危害等级</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临界的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安全对策措施</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spacing w:val="-6"/>
                <w:kern w:val="2"/>
                <w:sz w:val="21"/>
                <w:szCs w:val="21"/>
              </w:rPr>
            </w:pPr>
            <w:r>
              <w:rPr>
                <w:rFonts w:hint="eastAsia" w:ascii="宋体" w:hAnsi="宋体" w:eastAsia="宋体"/>
                <w:color w:val="auto"/>
                <w:spacing w:val="-6"/>
                <w:kern w:val="2"/>
                <w:sz w:val="21"/>
                <w:szCs w:val="21"/>
              </w:rPr>
              <w:t>1、认真做好设备、管线的维护保养工作，消除泄漏可能性；</w:t>
            </w:r>
          </w:p>
          <w:p>
            <w:pPr>
              <w:keepNext w:val="0"/>
              <w:keepLines w:val="0"/>
              <w:suppressLineNumbers w:val="0"/>
              <w:spacing w:before="0" w:beforeAutospacing="0" w:after="0" w:afterAutospacing="0" w:line="360" w:lineRule="exact"/>
              <w:ind w:left="0" w:right="0"/>
              <w:rPr>
                <w:rFonts w:hint="default" w:ascii="宋体" w:hAnsi="宋体" w:eastAsia="宋体"/>
                <w:color w:val="auto"/>
                <w:spacing w:val="-6"/>
                <w:kern w:val="2"/>
                <w:sz w:val="21"/>
                <w:szCs w:val="21"/>
              </w:rPr>
            </w:pPr>
            <w:r>
              <w:rPr>
                <w:rFonts w:hint="eastAsia" w:ascii="宋体" w:hAnsi="宋体" w:eastAsia="宋体"/>
                <w:color w:val="auto"/>
                <w:spacing w:val="-6"/>
                <w:kern w:val="2"/>
                <w:sz w:val="21"/>
                <w:szCs w:val="21"/>
              </w:rPr>
              <w:t>2.采用符合要求的包装，以免因包装不合格而造成的泄漏；</w:t>
            </w:r>
          </w:p>
          <w:p>
            <w:pPr>
              <w:keepNext w:val="0"/>
              <w:keepLines w:val="0"/>
              <w:suppressLineNumbers w:val="0"/>
              <w:spacing w:before="0" w:beforeAutospacing="0" w:after="0" w:afterAutospacing="0" w:line="360" w:lineRule="exact"/>
              <w:ind w:left="0" w:right="0"/>
              <w:rPr>
                <w:rFonts w:hint="default" w:ascii="宋体" w:hAnsi="宋体" w:eastAsia="宋体"/>
                <w:color w:val="auto"/>
                <w:spacing w:val="-6"/>
                <w:kern w:val="2"/>
                <w:sz w:val="21"/>
                <w:szCs w:val="21"/>
              </w:rPr>
            </w:pPr>
            <w:r>
              <w:rPr>
                <w:rFonts w:hint="eastAsia" w:ascii="宋体" w:hAnsi="宋体" w:eastAsia="宋体"/>
                <w:color w:val="auto"/>
                <w:spacing w:val="-6"/>
                <w:kern w:val="2"/>
                <w:sz w:val="21"/>
                <w:szCs w:val="21"/>
              </w:rPr>
              <w:t>3、防止人为损坏设备、管线等现象发生；</w:t>
            </w:r>
          </w:p>
          <w:p>
            <w:pPr>
              <w:keepNext w:val="0"/>
              <w:keepLines w:val="0"/>
              <w:suppressLineNumbers w:val="0"/>
              <w:spacing w:before="0" w:beforeAutospacing="0" w:after="0" w:afterAutospacing="0" w:line="360" w:lineRule="exact"/>
              <w:ind w:left="0" w:right="0"/>
              <w:rPr>
                <w:rFonts w:hint="default" w:ascii="宋体" w:hAnsi="宋体" w:eastAsia="宋体"/>
                <w:color w:val="auto"/>
                <w:spacing w:val="-6"/>
                <w:kern w:val="2"/>
                <w:sz w:val="21"/>
                <w:szCs w:val="21"/>
              </w:rPr>
            </w:pPr>
            <w:r>
              <w:rPr>
                <w:rFonts w:hint="eastAsia" w:ascii="宋体" w:hAnsi="宋体" w:eastAsia="宋体"/>
                <w:color w:val="auto"/>
                <w:spacing w:val="-6"/>
                <w:kern w:val="2"/>
                <w:sz w:val="21"/>
                <w:szCs w:val="21"/>
              </w:rPr>
              <w:t>4、制定可行的化学事故应急救援预案，并组织员工演练；</w:t>
            </w:r>
          </w:p>
          <w:p>
            <w:pPr>
              <w:keepNext w:val="0"/>
              <w:keepLines w:val="0"/>
              <w:suppressLineNumbers w:val="0"/>
              <w:spacing w:before="0" w:beforeAutospacing="0" w:after="0" w:afterAutospacing="0" w:line="360" w:lineRule="exact"/>
              <w:ind w:left="0" w:right="0"/>
              <w:rPr>
                <w:rFonts w:hint="default" w:ascii="宋体" w:hAnsi="宋体" w:eastAsia="宋体"/>
                <w:color w:val="auto"/>
                <w:spacing w:val="-6"/>
                <w:kern w:val="2"/>
                <w:sz w:val="21"/>
                <w:szCs w:val="21"/>
              </w:rPr>
            </w:pPr>
            <w:r>
              <w:rPr>
                <w:rFonts w:hint="eastAsia" w:ascii="宋体" w:hAnsi="宋体" w:eastAsia="宋体"/>
                <w:color w:val="auto"/>
                <w:spacing w:val="-6"/>
                <w:kern w:val="2"/>
                <w:sz w:val="21"/>
                <w:szCs w:val="21"/>
              </w:rPr>
              <w:t>5、发放、正确佩戴劳动保护用品及防毒防护用品，操作室等场所应通风良好；</w:t>
            </w:r>
          </w:p>
          <w:p>
            <w:pPr>
              <w:keepNext w:val="0"/>
              <w:keepLines w:val="0"/>
              <w:suppressLineNumbers w:val="0"/>
              <w:spacing w:before="0" w:beforeAutospacing="0" w:after="0" w:afterAutospacing="0" w:line="360" w:lineRule="exact"/>
              <w:ind w:left="0" w:right="0"/>
              <w:rPr>
                <w:rFonts w:hint="default" w:ascii="宋体" w:hAnsi="宋体" w:eastAsia="宋体"/>
                <w:color w:val="auto"/>
                <w:spacing w:val="-6"/>
                <w:kern w:val="2"/>
                <w:sz w:val="21"/>
                <w:szCs w:val="21"/>
              </w:rPr>
            </w:pPr>
            <w:r>
              <w:rPr>
                <w:rFonts w:hint="eastAsia" w:ascii="宋体" w:hAnsi="宋体" w:eastAsia="宋体"/>
                <w:color w:val="auto"/>
                <w:spacing w:val="-6"/>
                <w:kern w:val="2"/>
                <w:sz w:val="21"/>
                <w:szCs w:val="21"/>
              </w:rPr>
              <w:t>6、保证危险化学品的生产、使用储存达到安全卫生的要求。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可能出现的危险化学品事故</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火灾爆炸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危险因素</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lang w:eastAsia="zh-CN"/>
              </w:rPr>
              <w:t>二甲苯异构体混合物、乙酸正丁酯</w:t>
            </w:r>
            <w:r>
              <w:rPr>
                <w:rFonts w:hint="eastAsia" w:ascii="宋体" w:hAnsi="宋体" w:eastAsia="宋体"/>
                <w:color w:val="auto"/>
                <w:kern w:val="2"/>
                <w:sz w:val="21"/>
                <w:szCs w:val="21"/>
              </w:rPr>
              <w:t>、乙酸乙酯等溶剂及其它易燃物品泄漏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触发事件一</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可燃物质泄漏原因同</w:t>
            </w:r>
            <w:r>
              <w:rPr>
                <w:rFonts w:hint="eastAsia" w:ascii="宋体" w:hAnsi="宋体" w:eastAsia="宋体"/>
                <w:color w:val="auto"/>
                <w:kern w:val="2"/>
                <w:sz w:val="21"/>
                <w:szCs w:val="21"/>
                <w:lang w:eastAsia="zh-CN"/>
              </w:rPr>
              <w:t>中毒和</w:t>
            </w:r>
            <w:r>
              <w:rPr>
                <w:rFonts w:hint="eastAsia" w:ascii="宋体" w:hAnsi="宋体" w:eastAsia="宋体"/>
                <w:color w:val="auto"/>
                <w:kern w:val="2"/>
                <w:sz w:val="21"/>
                <w:szCs w:val="21"/>
              </w:rPr>
              <w:t>窒息的原因相同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发生条件</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1、易燃物质蒸气浓度达爆炸极限；</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2、可燃、易燃物质遇明火；</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3、存在点火源、静电火花、高温物体等引爆能量。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触发事件二</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1、明火</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(1)点火吸烟；(2)抢修、检修、违章动火；(3)外来人员携带火种；(4)其它火源。</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2、火花</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金属撞击(穿带钉皮鞋、工具设备碰撞等)；(2)电气火花；(3)手机、照相机、摄象机火花；(4)线路老化或损害产生短路火花，以及因超载、绝缘烧坏引起明火；(5)焊、割、打磨产生火花；(6)击打管道、设备产生撞击火花；(7)静电火花；(8)雷击(直击雷击，雷电一次作用，沿电气线路或金属管道侵入)；</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3.高温表面</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4.违规卸车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事故后果</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物料跑损、人员伤亡、停产、造成严重经济损失</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一般后果：个体受轻伤，无死亡。</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严重后果：个体或者群体重伤，造成人员伤亡。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危险危害等级</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危险的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93"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color w:val="auto"/>
                <w:kern w:val="2"/>
                <w:sz w:val="21"/>
                <w:szCs w:val="21"/>
              </w:rPr>
            </w:pPr>
            <w:r>
              <w:rPr>
                <w:rFonts w:hint="eastAsia" w:ascii="宋体" w:hAnsi="宋体" w:eastAsia="宋体"/>
                <w:color w:val="auto"/>
                <w:kern w:val="2"/>
                <w:sz w:val="21"/>
                <w:szCs w:val="21"/>
              </w:rPr>
              <w:t>安全对策措施</w:t>
            </w:r>
          </w:p>
        </w:tc>
        <w:tc>
          <w:tcPr>
            <w:tcW w:w="7801" w:type="dxa"/>
            <w:vAlign w:val="center"/>
          </w:tcPr>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1、控制与清除火源</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严禁吸烟、携带火种、穿带钉皮鞋进入；(2)动火必须严格按照动火程序办理动火证，并采取有效防范措施；(3)按规范安装避雷装置，定期检测；(4)按规范采取防静电措施；(5)进出车辆要戴好阻火器，正确行驶，避免故障和车祸；</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2、严格控制设备质量</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(1)对设备要不定期检查、保养、维修，保持完好状态，防止易燃物料的跑、冒、滴、漏；(2)按规范安装电气线路并要不定期检查、保养、维修，保持完好状态；</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3、加强管理、严格工艺纪律</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(1)杜绝“三违”，严守工艺纪律；(2)遵守安全操作规程；(3)加强教育、培训、考核工作；</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4、安全设施要齐全完好</w:t>
            </w:r>
          </w:p>
          <w:p>
            <w:pPr>
              <w:keepNext w:val="0"/>
              <w:keepLines w:val="0"/>
              <w:suppressLineNumbers w:val="0"/>
              <w:spacing w:before="0" w:beforeAutospacing="0" w:after="0" w:afterAutospacing="0" w:line="360" w:lineRule="exact"/>
              <w:ind w:left="0" w:right="0"/>
              <w:rPr>
                <w:rFonts w:hint="default" w:ascii="宋体" w:hAnsi="宋体" w:eastAsia="宋体"/>
                <w:color w:val="auto"/>
                <w:kern w:val="2"/>
                <w:sz w:val="21"/>
                <w:szCs w:val="21"/>
              </w:rPr>
            </w:pPr>
            <w:r>
              <w:rPr>
                <w:rFonts w:hint="eastAsia" w:ascii="宋体" w:hAnsi="宋体" w:eastAsia="宋体"/>
                <w:color w:val="auto"/>
                <w:kern w:val="2"/>
                <w:sz w:val="21"/>
                <w:szCs w:val="21"/>
              </w:rPr>
              <w:t>安全设施(如消防设施、防静电设施等)齐全并保持完好。</w:t>
            </w:r>
          </w:p>
        </w:tc>
      </w:tr>
    </w:tbl>
    <w:p>
      <w:pPr>
        <w:spacing w:line="56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bookmarkStart w:id="201" w:name="bookmark158"/>
      <w:bookmarkStart w:id="202" w:name="bookmark155"/>
      <w:bookmarkStart w:id="203" w:name="bookmark156"/>
      <w:bookmarkStart w:id="204" w:name="bookmark157"/>
      <w:r>
        <w:rPr>
          <w:snapToGrid/>
          <w:color w:val="auto"/>
        </w:rPr>
        <w:br w:type="page"/>
      </w:r>
    </w:p>
    <w:p>
      <w:pPr>
        <w:pStyle w:val="3"/>
        <w:spacing w:after="120"/>
        <w:rPr>
          <w:snapToGrid/>
          <w:color w:val="auto"/>
        </w:rPr>
      </w:pPr>
      <w:bookmarkStart w:id="205" w:name="_Toc21568"/>
      <w:r>
        <w:rPr>
          <w:snapToGrid/>
          <w:color w:val="auto"/>
        </w:rPr>
        <w:t>附件4企业平面布置及四至图、工艺流程图、防爆区域划分图</w:t>
      </w:r>
      <w:bookmarkEnd w:id="201"/>
      <w:bookmarkEnd w:id="202"/>
      <w:bookmarkEnd w:id="203"/>
      <w:bookmarkEnd w:id="204"/>
      <w:bookmarkEnd w:id="205"/>
    </w:p>
    <w:p>
      <w:pPr>
        <w:spacing w:line="560" w:lineRule="exact"/>
        <w:ind w:firstLine="454" w:firstLineChars="142"/>
        <w:rPr>
          <w:rFonts w:ascii="宋体" w:hAnsi="宋体" w:eastAsia="宋体"/>
          <w:color w:val="auto"/>
          <w:spacing w:val="20"/>
          <w:sz w:val="28"/>
          <w:szCs w:val="28"/>
          <w:lang w:eastAsia="zh-CN"/>
        </w:rPr>
      </w:pPr>
      <w:bookmarkStart w:id="206" w:name="bookmark159"/>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07" w:name="_Toc23191"/>
      <w:r>
        <w:rPr>
          <w:rFonts w:ascii="楷体_GB2312" w:hAnsi="Times New Roman" w:eastAsia="楷体_GB2312" w:cs="Times New Roman"/>
          <w:bCs/>
          <w:color w:val="auto"/>
          <w:kern w:val="2"/>
          <w:sz w:val="32"/>
          <w:lang w:val="en-US" w:eastAsia="zh-CN" w:bidi="ar-SA"/>
        </w:rPr>
        <w:t>4.1被评价单位平面布置图及四至图、防爆区域划分图</w:t>
      </w:r>
      <w:bookmarkEnd w:id="206"/>
      <w:bookmarkEnd w:id="207"/>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东莞优诺电子焊接材料有限公司平面布置图及四至图(见附件)</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东莞优诺电子焊接材料有限公司防爆区域划分图(见附件)</w:t>
      </w:r>
    </w:p>
    <w:p>
      <w:pPr>
        <w:spacing w:line="560" w:lineRule="exact"/>
        <w:ind w:firstLine="454" w:firstLineChars="142"/>
        <w:rPr>
          <w:rFonts w:ascii="宋体" w:hAnsi="宋体" w:eastAsia="宋体"/>
          <w:color w:val="auto"/>
          <w:spacing w:val="20"/>
          <w:sz w:val="28"/>
          <w:szCs w:val="28"/>
          <w:lang w:eastAsia="zh-CN"/>
        </w:rPr>
      </w:pP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08" w:name="bookmark160"/>
      <w:bookmarkStart w:id="209" w:name="_Toc10794"/>
      <w:r>
        <w:rPr>
          <w:rFonts w:ascii="楷体_GB2312" w:hAnsi="Times New Roman" w:eastAsia="楷体_GB2312" w:cs="Times New Roman"/>
          <w:bCs/>
          <w:color w:val="auto"/>
          <w:kern w:val="2"/>
          <w:sz w:val="32"/>
          <w:lang w:val="en-US" w:eastAsia="zh-CN" w:bidi="ar-SA"/>
        </w:rPr>
        <w:t>4.2工艺流程图</w:t>
      </w:r>
      <w:bookmarkEnd w:id="208"/>
      <w:bookmarkEnd w:id="209"/>
    </w:p>
    <w:p>
      <w:pPr>
        <w:keepNext w:val="0"/>
        <w:keepLines w:val="0"/>
        <w:pageBreakBefore w:val="0"/>
        <w:widowControl w:val="0"/>
        <w:kinsoku/>
        <w:wordWrap/>
        <w:overflowPunct/>
        <w:topLinePunct w:val="0"/>
        <w:autoSpaceDE/>
        <w:autoSpaceDN/>
        <w:bidi w:val="0"/>
        <w:adjustRightInd/>
        <w:snapToGrid/>
        <w:spacing w:line="600" w:lineRule="exact"/>
        <w:ind w:firstLine="280" w:firstLineChars="100"/>
        <w:textAlignment w:val="auto"/>
        <w:outlineLvl w:val="9"/>
        <w:rPr>
          <w:rFonts w:ascii="宋体" w:hAnsi="宋体"/>
          <w:color w:val="auto"/>
          <w:sz w:val="28"/>
          <w:szCs w:val="28"/>
        </w:rPr>
      </w:pPr>
      <w:bookmarkStart w:id="210" w:name="_Toc440359257"/>
      <w:bookmarkStart w:id="211" w:name="_Toc322003950"/>
      <w:r>
        <w:rPr>
          <w:rFonts w:hint="eastAsia" w:ascii="宋体" w:hAnsi="宋体"/>
          <w:color w:val="auto"/>
          <w:sz w:val="28"/>
          <w:szCs w:val="28"/>
        </w:rPr>
        <w:t>(一)助焊剂生产工艺流程图</w:t>
      </w:r>
    </w:p>
    <w:p>
      <w:pPr>
        <w:keepNext w:val="0"/>
        <w:keepLines w:val="0"/>
        <w:pageBreakBefore w:val="0"/>
        <w:widowControl w:val="0"/>
        <w:kinsoku/>
        <w:wordWrap/>
        <w:overflowPunct/>
        <w:topLinePunct w:val="0"/>
        <w:autoSpaceDE/>
        <w:autoSpaceDN/>
        <w:bidi w:val="0"/>
        <w:adjustRightInd/>
        <w:snapToGrid/>
        <w:ind w:firstLine="280" w:firstLineChars="100"/>
        <w:textAlignment w:val="auto"/>
        <w:outlineLvl w:val="9"/>
        <w:rPr>
          <w:rFonts w:hint="eastAsia" w:ascii="宋体" w:hAnsi="宋体"/>
          <w:color w:val="auto"/>
          <w:sz w:val="28"/>
          <w:szCs w:val="28"/>
        </w:rPr>
      </w:pPr>
    </w:p>
    <w:p>
      <w:pPr>
        <w:keepNext w:val="0"/>
        <w:keepLines w:val="0"/>
        <w:pageBreakBefore w:val="0"/>
        <w:widowControl w:val="0"/>
        <w:tabs>
          <w:tab w:val="left" w:pos="7950"/>
        </w:tabs>
        <w:kinsoku/>
        <w:wordWrap/>
        <w:overflowPunct/>
        <w:topLinePunct w:val="0"/>
        <w:autoSpaceDE/>
        <w:autoSpaceDN/>
        <w:bidi w:val="0"/>
        <w:adjustRightInd/>
        <w:snapToGrid/>
        <w:textAlignment w:val="auto"/>
        <w:outlineLvl w:val="9"/>
        <w:rPr>
          <w:rFonts w:ascii="宋体" w:hAnsi="宋体"/>
          <w:color w:val="auto"/>
          <w:sz w:val="28"/>
          <w:szCs w:val="28"/>
        </w:rPr>
      </w:pPr>
      <w:r>
        <w:rPr>
          <w:color w:val="auto"/>
        </w:rPr>
        <w:object>
          <v:shape id="_x0000_i1027" o:spt="75" type="#_x0000_t75" style="height:41.45pt;width:458.9pt;" o:ole="t" filled="f" o:preferrelative="t" stroked="f" coordsize="21600,21600">
            <v:path/>
            <v:fill on="f" focussize="0,0"/>
            <v:stroke on="f"/>
            <v:imagedata r:id="rId10" o:title=""/>
            <o:lock v:ext="edit" aspectratio="t"/>
            <w10:wrap type="none"/>
            <w10:anchorlock/>
          </v:shape>
          <o:OLEObject Type="Embed" ProgID="Visio.Drawing.11" ShapeID="_x0000_i1027" DrawAspect="Content" ObjectID="_1468075727" r:id="rId17">
            <o:LockedField>false</o:LockedField>
          </o:OLEObject>
        </w:object>
      </w:r>
    </w:p>
    <w:p>
      <w:pPr>
        <w:keepNext w:val="0"/>
        <w:keepLines w:val="0"/>
        <w:pageBreakBefore w:val="0"/>
        <w:widowControl w:val="0"/>
        <w:kinsoku/>
        <w:wordWrap/>
        <w:overflowPunct/>
        <w:topLinePunct w:val="0"/>
        <w:autoSpaceDE/>
        <w:autoSpaceDN/>
        <w:bidi w:val="0"/>
        <w:adjustRightInd/>
        <w:snapToGrid/>
        <w:ind w:firstLine="280" w:firstLineChars="100"/>
        <w:textAlignment w:val="auto"/>
        <w:outlineLvl w:val="9"/>
        <w:rPr>
          <w:rFonts w:hint="eastAsia" w:ascii="宋体" w:hAnsi="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b/>
          <w:color w:val="auto"/>
          <w:sz w:val="24"/>
        </w:rPr>
      </w:pPr>
      <w:r>
        <w:rPr>
          <w:rFonts w:hint="eastAsia" w:ascii="宋体" w:hAnsi="宋体"/>
          <w:b/>
          <w:color w:val="auto"/>
          <w:sz w:val="24"/>
        </w:rPr>
        <w:t>助焊剂生产工艺流程图</w:t>
      </w:r>
    </w:p>
    <w:p>
      <w:pPr>
        <w:keepNext w:val="0"/>
        <w:keepLines w:val="0"/>
        <w:pageBreakBefore w:val="0"/>
        <w:widowControl w:val="0"/>
        <w:kinsoku/>
        <w:wordWrap/>
        <w:overflowPunct/>
        <w:topLinePunct w:val="0"/>
        <w:autoSpaceDE/>
        <w:autoSpaceDN/>
        <w:bidi w:val="0"/>
        <w:adjustRightInd/>
        <w:snapToGrid/>
        <w:spacing w:line="600" w:lineRule="exact"/>
        <w:ind w:firstLine="280" w:firstLineChars="100"/>
        <w:textAlignment w:val="auto"/>
        <w:outlineLvl w:val="9"/>
        <w:rPr>
          <w:rFonts w:ascii="宋体" w:hAnsi="宋体"/>
          <w:color w:val="auto"/>
          <w:sz w:val="28"/>
          <w:szCs w:val="28"/>
        </w:rPr>
      </w:pPr>
      <w:r>
        <w:rPr>
          <w:rFonts w:hint="eastAsia" w:ascii="宋体" w:hAnsi="宋体"/>
          <w:color w:val="auto"/>
          <w:sz w:val="28"/>
          <w:szCs w:val="28"/>
        </w:rPr>
        <w:t>(二)2-丙醇、清洗剂生产工艺流程图</w:t>
      </w:r>
    </w:p>
    <w:p>
      <w:pPr>
        <w:keepNext w:val="0"/>
        <w:keepLines w:val="0"/>
        <w:pageBreakBefore w:val="0"/>
        <w:widowControl w:val="0"/>
        <w:kinsoku/>
        <w:wordWrap/>
        <w:overflowPunct/>
        <w:topLinePunct w:val="0"/>
        <w:autoSpaceDE/>
        <w:autoSpaceDN/>
        <w:bidi w:val="0"/>
        <w:adjustRightInd/>
        <w:snapToGrid/>
        <w:ind w:firstLine="280" w:firstLineChars="100"/>
        <w:textAlignment w:val="auto"/>
        <w:outlineLvl w:val="9"/>
        <w:rPr>
          <w:rFonts w:hint="eastAsia" w:ascii="宋体" w:hAnsi="宋体"/>
          <w:color w:val="auto"/>
          <w:sz w:val="28"/>
          <w:szCs w:val="28"/>
        </w:rPr>
      </w:pPr>
    </w:p>
    <w:p>
      <w:pPr>
        <w:keepNext w:val="0"/>
        <w:keepLines w:val="0"/>
        <w:pageBreakBefore w:val="0"/>
        <w:widowControl w:val="0"/>
        <w:tabs>
          <w:tab w:val="left" w:pos="7950"/>
        </w:tabs>
        <w:kinsoku/>
        <w:wordWrap/>
        <w:overflowPunct/>
        <w:topLinePunct w:val="0"/>
        <w:autoSpaceDE/>
        <w:autoSpaceDN/>
        <w:bidi w:val="0"/>
        <w:adjustRightInd/>
        <w:snapToGrid/>
        <w:textAlignment w:val="auto"/>
        <w:outlineLvl w:val="9"/>
        <w:rPr>
          <w:color w:val="auto"/>
        </w:rPr>
      </w:pPr>
      <w:r>
        <w:rPr>
          <w:color w:val="auto"/>
        </w:rPr>
        <w:object>
          <v:shape id="_x0000_i1028" o:spt="75" type="#_x0000_t75" style="height:39.5pt;width:458.8pt;" o:ole="t" filled="f" o:preferrelative="t" stroked="f" coordsize="21600,21600">
            <v:path/>
            <v:fill on="f" focussize="0,0"/>
            <v:stroke on="f"/>
            <v:imagedata r:id="rId12" o:title=""/>
            <o:lock v:ext="edit" aspectratio="t"/>
            <w10:wrap type="none"/>
            <w10:anchorlock/>
          </v:shape>
          <o:OLEObject Type="Embed" ProgID="Visio.Drawing.11" ShapeID="_x0000_i1028" DrawAspect="Content" ObjectID="_1468075728" r:id="rId18">
            <o:LockedField>false</o:LockedField>
          </o:OLEObject>
        </w:object>
      </w:r>
    </w:p>
    <w:p>
      <w:pPr>
        <w:keepNext w:val="0"/>
        <w:keepLines w:val="0"/>
        <w:pageBreakBefore w:val="0"/>
        <w:widowControl w:val="0"/>
        <w:kinsoku/>
        <w:wordWrap/>
        <w:overflowPunct/>
        <w:topLinePunct w:val="0"/>
        <w:autoSpaceDE/>
        <w:autoSpaceDN/>
        <w:bidi w:val="0"/>
        <w:adjustRightInd/>
        <w:snapToGrid/>
        <w:ind w:firstLine="280" w:firstLineChars="100"/>
        <w:textAlignment w:val="auto"/>
        <w:outlineLvl w:val="9"/>
        <w:rPr>
          <w:rFonts w:hint="eastAsia" w:ascii="宋体" w:hAnsi="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ascii="宋体" w:hAnsi="宋体"/>
          <w:b/>
          <w:color w:val="auto"/>
          <w:sz w:val="24"/>
        </w:rPr>
      </w:pPr>
      <w:r>
        <w:rPr>
          <w:rFonts w:hint="eastAsia" w:ascii="宋体" w:hAnsi="宋体"/>
          <w:b/>
          <w:color w:val="auto"/>
          <w:sz w:val="24"/>
        </w:rPr>
        <w:t>清洗剂、2-丙醇生产工艺流程图</w:t>
      </w:r>
    </w:p>
    <w:p>
      <w:pPr>
        <w:keepNext w:val="0"/>
        <w:keepLines w:val="0"/>
        <w:pageBreakBefore w:val="0"/>
        <w:widowControl w:val="0"/>
        <w:kinsoku/>
        <w:wordWrap/>
        <w:overflowPunct/>
        <w:topLinePunct w:val="0"/>
        <w:autoSpaceDE/>
        <w:autoSpaceDN/>
        <w:bidi w:val="0"/>
        <w:adjustRightInd/>
        <w:snapToGrid/>
        <w:spacing w:line="600" w:lineRule="exact"/>
        <w:ind w:firstLine="280" w:firstLineChars="100"/>
        <w:textAlignment w:val="auto"/>
        <w:outlineLvl w:val="9"/>
        <w:rPr>
          <w:rFonts w:ascii="宋体" w:hAnsi="宋体"/>
          <w:color w:val="auto"/>
          <w:sz w:val="28"/>
          <w:szCs w:val="28"/>
        </w:rPr>
      </w:pPr>
      <w:r>
        <w:rPr>
          <w:rFonts w:hint="eastAsia" w:ascii="宋体" w:hAnsi="宋体"/>
          <w:color w:val="auto"/>
          <w:sz w:val="28"/>
          <w:szCs w:val="28"/>
        </w:rPr>
        <w:t>(三)水基清洗剂生产工艺</w:t>
      </w:r>
    </w:p>
    <w:p>
      <w:pPr>
        <w:keepNext w:val="0"/>
        <w:keepLines w:val="0"/>
        <w:pageBreakBefore w:val="0"/>
        <w:widowControl w:val="0"/>
        <w:kinsoku/>
        <w:wordWrap/>
        <w:overflowPunct/>
        <w:topLinePunct w:val="0"/>
        <w:autoSpaceDE/>
        <w:autoSpaceDN/>
        <w:bidi w:val="0"/>
        <w:adjustRightInd/>
        <w:snapToGrid/>
        <w:ind w:firstLine="280" w:firstLineChars="100"/>
        <w:textAlignment w:val="auto"/>
        <w:outlineLvl w:val="9"/>
        <w:rPr>
          <w:rFonts w:hint="eastAsia" w:ascii="宋体" w:hAnsi="宋体"/>
          <w:color w:val="auto"/>
          <w:sz w:val="28"/>
          <w:szCs w:val="28"/>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color w:val="auto"/>
          <w:sz w:val="28"/>
          <w:szCs w:val="28"/>
        </w:rPr>
      </w:pPr>
      <w:r>
        <w:rPr>
          <w:rFonts w:ascii="宋体" w:hAnsi="宋体"/>
          <w:color w:val="auto"/>
          <w:sz w:val="28"/>
          <w:szCs w:val="28"/>
        </w:rPr>
        <w:pict>
          <v:group id="_x0000_s1653" o:spid="_x0000_s1653" o:spt="203" style="height:117pt;width:406.5pt;" coordorigin="1768,11714" coordsize="8130,2340">
            <o:lock v:ext="edit" rotation="t"/>
            <v:shape id="_x0000_s1654" o:spid="_x0000_s1654" o:spt="202" type="#_x0000_t202" style="position:absolute;left:1768;top:11870;height:624;width:90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磷 酸</w:t>
                    </w:r>
                  </w:p>
                </w:txbxContent>
              </v:textbox>
            </v:shape>
            <v:shape id="_x0000_s1655" o:spid="_x0000_s1655" o:spt="202" type="#_x0000_t202" style="position:absolute;left:3388;top:11714;height:1036;width:1800;" fillcolor="#9CBEE0" filled="f" stroked="t" coordsize="21600,21600">
              <v:path/>
              <v:fill on="f" color2="#BBD5F0" focussize="0,0"/>
              <v:stroke/>
              <v:imagedata o:title=""/>
              <o:lock v:ext="edit"/>
              <v:textbox>
                <w:txbxContent>
                  <w:p>
                    <w:pPr>
                      <w:rPr>
                        <w:rFonts w:hint="eastAsia"/>
                        <w:sz w:val="18"/>
                        <w:szCs w:val="18"/>
                      </w:rPr>
                    </w:pPr>
                    <w:r>
                      <w:rPr>
                        <w:rFonts w:hint="eastAsia"/>
                        <w:sz w:val="18"/>
                        <w:szCs w:val="18"/>
                      </w:rPr>
                      <w:t>脂肪醇聚氧乙烯醚或二乙二醇单丁醚</w:t>
                    </w:r>
                  </w:p>
                </w:txbxContent>
              </v:textbox>
            </v:shape>
            <v:shape id="_x0000_s1656" o:spid="_x0000_s1656" o:spt="202" type="#_x0000_t202" style="position:absolute;left:6088;top:11870;height:624;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去离子水</w:t>
                    </w:r>
                  </w:p>
                </w:txbxContent>
              </v:textbox>
            </v:shape>
            <v:shape id="_x0000_s1657" o:spid="_x0000_s1657" o:spt="202" type="#_x0000_t202" style="position:absolute;left:8428;top:11870;height:624;width:108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硫酸</w:t>
                    </w:r>
                  </w:p>
                </w:txbxContent>
              </v:textbox>
            </v:shape>
            <v:shape id="_x0000_s1658" o:spid="_x0000_s1658" o:spt="202" type="#_x0000_t202" style="position:absolute;left:8428;top:13430;height:624;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检验合格</w:t>
                    </w:r>
                  </w:p>
                </w:txbxContent>
              </v:textbox>
            </v:shape>
            <v:shape id="_x0000_s1659" o:spid="_x0000_s1659" o:spt="202" type="#_x0000_t202" style="position:absolute;left:5908;top:13430;height:624;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称重分装</w:t>
                    </w:r>
                  </w:p>
                </w:txbxContent>
              </v:textbox>
            </v:shape>
            <v:shape id="_x0000_s1660" o:spid="_x0000_s1660" o:spt="202" type="#_x0000_t202" style="position:absolute;left:3928;top:13430;height:566;width:90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入 库</w:t>
                    </w:r>
                  </w:p>
                </w:txbxContent>
              </v:textbox>
            </v:shape>
            <v:line id="_x0000_s1661" o:spid="_x0000_s1661" o:spt="20" style="position:absolute;left:2665;top:12182;height:0;width:720;" filled="f" stroked="t" coordsize="21600,21600">
              <v:path arrowok="t"/>
              <v:fill on="f" focussize="0,0"/>
              <v:stroke weight="1.25pt" endarrow="block"/>
              <v:imagedata o:title=""/>
              <o:lock v:ext="edit"/>
            </v:line>
            <v:line id="_x0000_s1662" o:spid="_x0000_s1662" o:spt="20" style="position:absolute;left:5218;top:12182;height:0;width:833;" filled="f" stroked="t" coordsize="21600,21600">
              <v:path arrowok="t"/>
              <v:fill on="f" focussize="0,0"/>
              <v:stroke weight="1.25pt" endarrow="block"/>
              <v:imagedata o:title=""/>
              <o:lock v:ext="edit"/>
            </v:line>
            <v:line id="_x0000_s1663" o:spid="_x0000_s1663" o:spt="20" style="position:absolute;left:7348;top:12182;height:0;width:1080;" filled="f" stroked="t" coordsize="21600,21600">
              <v:path arrowok="t"/>
              <v:fill on="f" focussize="0,0"/>
              <v:stroke weight="1.25pt" endarrow="block"/>
              <v:imagedata o:title=""/>
              <o:lock v:ext="edit"/>
            </v:line>
            <v:line id="_x0000_s1664" o:spid="_x0000_s1664" o:spt="20" style="position:absolute;left:9148;top:12494;height:936;width:0;" filled="f" stroked="t" coordsize="21600,21600">
              <v:path arrowok="t"/>
              <v:fill on="f" focussize="0,0"/>
              <v:stroke weight="1.25pt" endarrow="block"/>
              <v:imagedata o:title=""/>
              <o:lock v:ext="edit"/>
            </v:line>
            <v:line id="_x0000_s1665" o:spid="_x0000_s1665" o:spt="20" style="position:absolute;left:7168;top:13742;flip:x;height:0;width:1260;" filled="f" stroked="t" coordsize="21600,21600">
              <v:path arrowok="t"/>
              <v:fill on="f" focussize="0,0"/>
              <v:stroke weight="1.25pt" endarrow="block"/>
              <v:imagedata o:title=""/>
              <o:lock v:ext="edit"/>
            </v:line>
            <v:line id="_x0000_s1666" o:spid="_x0000_s1666" o:spt="20" style="position:absolute;left:4828;top:13742;flip:x;height:0;width:1080;" filled="f" stroked="t" coordsize="21600,21600">
              <v:path arrowok="t"/>
              <v:fill on="f" focussize="0,0"/>
              <v:stroke weight="1.25pt" endarrow="block"/>
              <v:imagedata o:title=""/>
              <o:lock v:ext="edit"/>
            </v:line>
            <v:shape id="_x0000_s1667" o:spid="_x0000_s1667" o:spt="202" type="#_x0000_t202" style="position:absolute;left:8998;top:12530;height:799;width:900;" fillcolor="#9CBEE0" filled="f" stroked="f" coordsize="21600,21600">
              <v:path/>
              <v:fill on="f" color2="#BBD5F0" focussize="0,0"/>
              <v:stroke on="f"/>
              <v:imagedata o:title=""/>
              <o:lock v:ext="edit"/>
              <v:textbox>
                <w:txbxContent>
                  <w:p>
                    <w:pPr>
                      <w:spacing w:line="320" w:lineRule="exact"/>
                      <w:jc w:val="center"/>
                      <w:rPr>
                        <w:rFonts w:hint="eastAsia"/>
                      </w:rPr>
                    </w:pPr>
                    <w:r>
                      <w:rPr>
                        <w:rFonts w:hint="eastAsia"/>
                      </w:rPr>
                      <w:t>常温搅拌</w:t>
                    </w:r>
                  </w:p>
                </w:txbxContent>
              </v:textbox>
            </v:shape>
            <w10:wrap type="none"/>
            <w10:anchorlock/>
          </v:group>
        </w:pict>
      </w:r>
    </w:p>
    <w:p>
      <w:pPr>
        <w:keepNext w:val="0"/>
        <w:keepLines w:val="0"/>
        <w:pageBreakBefore w:val="0"/>
        <w:widowControl w:val="0"/>
        <w:tabs>
          <w:tab w:val="left" w:pos="7950"/>
        </w:tabs>
        <w:kinsoku/>
        <w:wordWrap/>
        <w:overflowPunct/>
        <w:topLinePunct w:val="0"/>
        <w:autoSpaceDE/>
        <w:autoSpaceDN/>
        <w:bidi w:val="0"/>
        <w:adjustRightInd/>
        <w:snapToGrid/>
        <w:textAlignment w:val="auto"/>
        <w:outlineLvl w:val="9"/>
        <w:rPr>
          <w:rFonts w:hint="eastAsia"/>
          <w:color w:val="auto"/>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b/>
          <w:color w:val="auto"/>
          <w:sz w:val="24"/>
        </w:rPr>
      </w:pPr>
      <w:r>
        <w:rPr>
          <w:rFonts w:hint="eastAsia" w:ascii="宋体" w:hAnsi="宋体"/>
          <w:b/>
          <w:color w:val="auto"/>
          <w:sz w:val="24"/>
        </w:rPr>
        <w:t>水基清洗剂生产工艺流程图1</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宋体" w:hAnsi="宋体"/>
          <w:color w:val="auto"/>
          <w:sz w:val="28"/>
          <w:szCs w:val="28"/>
        </w:rPr>
      </w:pPr>
      <w:r>
        <w:rPr>
          <w:rFonts w:ascii="宋体" w:hAnsi="宋体"/>
          <w:color w:val="auto"/>
          <w:sz w:val="28"/>
          <w:szCs w:val="28"/>
        </w:rPr>
        <w:pict>
          <v:group id="_x0000_s1668" o:spid="_x0000_s1668" o:spt="203" style="height:139.8pt;width:320.9pt;" coordorigin="2010,1574" coordsize="6418,2796">
            <o:lock v:ext="edit" rotation="t"/>
            <v:shape id="_x0000_s1669" o:spid="_x0000_s1669" o:spt="202" type="#_x0000_t202" style="position:absolute;left:2010;top:1796;height:624;width:1198;"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氢氧化钠</w:t>
                    </w:r>
                  </w:p>
                </w:txbxContent>
              </v:textbox>
            </v:shape>
            <v:shape id="_x0000_s1670" o:spid="_x0000_s1670" o:spt="202" type="#_x0000_t202" style="position:absolute;left:6628;top:1574;height:1036;width:1800;" fillcolor="#9CBEE0" filled="f" stroked="t" coordsize="21600,21600">
              <v:path/>
              <v:fill on="f" color2="#BBD5F0" focussize="0,0"/>
              <v:stroke/>
              <v:imagedata o:title=""/>
              <o:lock v:ext="edit"/>
              <v:textbox>
                <w:txbxContent>
                  <w:p>
                    <w:pPr>
                      <w:rPr>
                        <w:rFonts w:hint="eastAsia"/>
                        <w:sz w:val="18"/>
                        <w:szCs w:val="18"/>
                      </w:rPr>
                    </w:pPr>
                    <w:r>
                      <w:rPr>
                        <w:rFonts w:hint="eastAsia"/>
                        <w:sz w:val="18"/>
                        <w:szCs w:val="18"/>
                      </w:rPr>
                      <w:t>脂肪醇聚氧乙烯醚或二乙二醇单丁醚</w:t>
                    </w:r>
                  </w:p>
                </w:txbxContent>
              </v:textbox>
            </v:shape>
            <v:shape id="_x0000_s1671" o:spid="_x0000_s1671" o:spt="202" type="#_x0000_t202" style="position:absolute;left:4108;top:1770;height:689;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去离子水</w:t>
                    </w:r>
                  </w:p>
                </w:txbxContent>
              </v:textbox>
            </v:shape>
            <v:shape id="_x0000_s1672" o:spid="_x0000_s1672" o:spt="202" type="#_x0000_t202" style="position:absolute;left:6913;top:3746;height:624;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检验合格</w:t>
                    </w:r>
                  </w:p>
                </w:txbxContent>
              </v:textbox>
            </v:shape>
            <v:shape id="_x0000_s1673" o:spid="_x0000_s1673" o:spt="202" type="#_x0000_t202" style="position:absolute;left:4393;top:3746;height:624;width:126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称重分装</w:t>
                    </w:r>
                  </w:p>
                </w:txbxContent>
              </v:textbox>
            </v:shape>
            <v:shape id="_x0000_s1674" o:spid="_x0000_s1674" o:spt="202" type="#_x0000_t202" style="position:absolute;left:2413;top:3746;height:566;width:900;" fillcolor="#9CBEE0" filled="f" stroked="t" coordsize="21600,21600">
              <v:path/>
              <v:fill on="f" color2="#BBD5F0" focussize="0,0"/>
              <v:stroke/>
              <v:imagedata o:title=""/>
              <o:lock v:ext="edit"/>
              <v:textbox>
                <w:txbxContent>
                  <w:p>
                    <w:pPr>
                      <w:spacing w:line="320" w:lineRule="exact"/>
                      <w:jc w:val="center"/>
                      <w:rPr>
                        <w:rFonts w:hint="eastAsia"/>
                        <w:sz w:val="22"/>
                        <w:szCs w:val="22"/>
                      </w:rPr>
                    </w:pPr>
                    <w:r>
                      <w:rPr>
                        <w:rFonts w:hint="eastAsia"/>
                        <w:sz w:val="22"/>
                        <w:szCs w:val="22"/>
                      </w:rPr>
                      <w:t>入 库</w:t>
                    </w:r>
                  </w:p>
                </w:txbxContent>
              </v:textbox>
            </v:shape>
            <v:line id="_x0000_s1675" o:spid="_x0000_s1675" o:spt="20" style="position:absolute;left:3205;top:2108;height:0;width:903;" filled="f" stroked="t" coordsize="21600,21600">
              <v:path arrowok="t"/>
              <v:fill on="f" focussize="0,0"/>
              <v:stroke weight="1.25pt" endarrow="block"/>
              <v:imagedata o:title=""/>
              <o:lock v:ext="edit"/>
            </v:line>
            <v:line id="_x0000_s1676" o:spid="_x0000_s1676" o:spt="20" style="position:absolute;left:5368;top:2102;height:0;width:1260;" filled="f" stroked="t" coordsize="21600,21600">
              <v:path arrowok="t"/>
              <v:fill on="f" focussize="0,0"/>
              <v:stroke weight="1.25pt" endarrow="block"/>
              <v:imagedata o:title=""/>
              <o:lock v:ext="edit"/>
            </v:line>
            <v:line id="_x0000_s1677" o:spid="_x0000_s1677" o:spt="20" style="position:absolute;left:7528;top:2621;height:1106;width:0;" filled="f" stroked="t" coordsize="21600,21600">
              <v:path arrowok="t"/>
              <v:fill on="f" focussize="0,0"/>
              <v:stroke weight="1.25pt" endarrow="block"/>
              <v:imagedata o:title=""/>
              <o:lock v:ext="edit"/>
            </v:line>
            <v:line id="_x0000_s1678" o:spid="_x0000_s1678" o:spt="20" style="position:absolute;left:5653;top:4058;flip:x;height:0;width:1260;" filled="f" stroked="t" coordsize="21600,21600">
              <v:path arrowok="t"/>
              <v:fill on="f" focussize="0,0"/>
              <v:stroke weight="1.25pt" endarrow="block"/>
              <v:imagedata o:title=""/>
              <o:lock v:ext="edit"/>
            </v:line>
            <v:line id="_x0000_s1679" o:spid="_x0000_s1679" o:spt="20" style="position:absolute;left:3313;top:4058;flip:x;height:0;width:1080;" filled="f" stroked="t" coordsize="21600,21600">
              <v:path arrowok="t"/>
              <v:fill on="f" focussize="0,0"/>
              <v:stroke weight="1.25pt" endarrow="block"/>
              <v:imagedata o:title=""/>
              <o:lock v:ext="edit"/>
            </v:line>
            <v:shape id="_x0000_s1680" o:spid="_x0000_s1680" o:spt="202" type="#_x0000_t202" style="position:absolute;left:7423;top:2723;height:799;width:900;" fillcolor="#9CBEE0" filled="f" stroked="f" coordsize="21600,21600">
              <v:path/>
              <v:fill on="f" color2="#BBD5F0" focussize="0,0"/>
              <v:stroke on="f"/>
              <v:imagedata o:title=""/>
              <o:lock v:ext="edit"/>
              <v:textbox>
                <w:txbxContent>
                  <w:p>
                    <w:pPr>
                      <w:spacing w:line="320" w:lineRule="exact"/>
                      <w:jc w:val="center"/>
                      <w:rPr>
                        <w:rFonts w:hint="eastAsia"/>
                      </w:rPr>
                    </w:pPr>
                    <w:r>
                      <w:rPr>
                        <w:rFonts w:hint="eastAsia"/>
                      </w:rPr>
                      <w:t>常温搅拌</w:t>
                    </w:r>
                  </w:p>
                </w:txbxContent>
              </v:textbox>
            </v:shape>
            <w10:wrap type="none"/>
            <w10:anchorlock/>
          </v:group>
        </w:pict>
      </w:r>
    </w:p>
    <w:p>
      <w:pPr>
        <w:keepNext w:val="0"/>
        <w:keepLines w:val="0"/>
        <w:pageBreakBefore w:val="0"/>
        <w:widowControl w:val="0"/>
        <w:tabs>
          <w:tab w:val="left" w:pos="7950"/>
        </w:tabs>
        <w:kinsoku/>
        <w:wordWrap/>
        <w:overflowPunct/>
        <w:topLinePunct w:val="0"/>
        <w:autoSpaceDE/>
        <w:autoSpaceDN/>
        <w:bidi w:val="0"/>
        <w:adjustRightInd/>
        <w:snapToGrid/>
        <w:textAlignment w:val="auto"/>
        <w:outlineLvl w:val="9"/>
        <w:rPr>
          <w:rFonts w:hint="eastAsia"/>
          <w:color w:val="auto"/>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宋体" w:hAnsi="宋体"/>
          <w:b/>
          <w:color w:val="auto"/>
          <w:sz w:val="24"/>
        </w:rPr>
      </w:pPr>
      <w:bookmarkStart w:id="212" w:name="_Toc10793"/>
      <w:r>
        <w:rPr>
          <w:rFonts w:hint="eastAsia" w:ascii="宋体" w:hAnsi="宋体"/>
          <w:b/>
          <w:color w:val="auto"/>
          <w:sz w:val="24"/>
        </w:rPr>
        <w:t>水基清洗剂生产工艺流程图2</w:t>
      </w:r>
      <w:bookmarkEnd w:id="212"/>
    </w:p>
    <w:p>
      <w:pPr>
        <w:spacing w:line="560" w:lineRule="exact"/>
        <w:jc w:val="both"/>
        <w:outlineLvl w:val="1"/>
        <w:rPr>
          <w:rFonts w:ascii="楷体_GB2312" w:hAnsi="Times New Roman" w:eastAsia="楷体_GB2312" w:cs="Times New Roman"/>
          <w:bCs/>
          <w:color w:val="auto"/>
          <w:kern w:val="2"/>
          <w:sz w:val="32"/>
          <w:lang w:val="en-US" w:eastAsia="zh-CN" w:bidi="ar-SA"/>
        </w:rPr>
      </w:pPr>
      <w:r>
        <w:rPr>
          <w:rFonts w:ascii="楷体_GB2312" w:hAnsi="Times New Roman" w:eastAsia="楷体_GB2312" w:cs="Times New Roman"/>
          <w:bCs/>
          <w:color w:val="auto"/>
          <w:kern w:val="2"/>
          <w:sz w:val="32"/>
          <w:lang w:val="en-US" w:eastAsia="zh-CN" w:bidi="ar-SA"/>
        </w:rPr>
        <w:br w:type="page"/>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13" w:name="_Toc14876"/>
      <w:r>
        <w:rPr>
          <w:rFonts w:hint="eastAsia" w:ascii="楷体_GB2312" w:hAnsi="Times New Roman" w:eastAsia="楷体_GB2312" w:cs="Times New Roman"/>
          <w:bCs/>
          <w:color w:val="auto"/>
          <w:kern w:val="2"/>
          <w:sz w:val="32"/>
          <w:lang w:val="en-US" w:eastAsia="zh-CN" w:bidi="ar-SA"/>
        </w:rPr>
        <w:t>4.3安全评价流程图</w:t>
      </w:r>
      <w:bookmarkEnd w:id="210"/>
      <w:bookmarkEnd w:id="211"/>
      <w:bookmarkEnd w:id="213"/>
    </w:p>
    <w:p>
      <w:pPr>
        <w:widowControl/>
        <w:wordWrap w:val="0"/>
        <w:jc w:val="center"/>
        <w:rPr>
          <w:rFonts w:ascii="宋体" w:hAnsi="宋体" w:cs="宋体"/>
          <w:color w:val="auto"/>
          <w:sz w:val="28"/>
          <w:szCs w:val="28"/>
        </w:rPr>
      </w:pPr>
    </w:p>
    <w:p>
      <w:pPr>
        <w:spacing w:line="360" w:lineRule="auto"/>
        <w:jc w:val="center"/>
        <w:rPr>
          <w:rFonts w:ascii="宋体" w:hAnsi="宋体"/>
          <w:color w:val="auto"/>
          <w:sz w:val="28"/>
          <w:szCs w:val="28"/>
        </w:rPr>
      </w:pPr>
      <w:r>
        <w:rPr>
          <w:color w:val="auto"/>
          <w:lang w:val="en-US" w:eastAsia="zh-CN" w:bidi="ar-SA"/>
        </w:rPr>
        <w:pict>
          <v:group id="Group 1322" o:spid="_x0000_s1280" o:spt="203" style="height:351.4pt;width:148.5pt;" coordorigin="5038,2895" coordsize="2970,7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">
            <o:lock v:ext="edit"/>
            <v:group id="Group 1323" o:spid="_x0000_s1281" o:spt="203" style="position:absolute;left:5098;top:2895;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">
              <o:lock v:ext="edit"/>
              <v:rect id="Rectangle 1324" o:spid="_x0000_s1282"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前期准备</w:t>
                      </w:r>
                    </w:p>
                    <w:p>
                      <w:pPr>
                        <w:rPr>
                          <w:rFonts w:ascii="宋体" w:hAnsi="宋体" w:eastAsia="宋体"/>
                          <w:sz w:val="21"/>
                          <w:szCs w:val="21"/>
                        </w:rPr>
                      </w:pPr>
                    </w:p>
                  </w:txbxContent>
                </v:textbox>
              </v:rect>
              <v:line id="Line 1325" o:spid="_x0000_s1283"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">
                <v:path arrowok="t"/>
                <v:fill focussize="0,0"/>
                <v:stroke endarrow="block"/>
                <v:imagedata o:title=""/>
                <o:lock v:ext="edit"/>
              </v:line>
            </v:group>
            <v:group id="Group 1326" o:spid="_x0000_s1284" o:spt="203" style="position:absolute;left:5098;top:3987;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">
              <o:lock v:ext="edit"/>
              <v:rect id="Rectangle 1327" o:spid="_x0000_s1285"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辨识与分析危险、有害因素</w:t>
                      </w:r>
                    </w:p>
                    <w:p>
                      <w:pPr>
                        <w:rPr>
                          <w:rFonts w:ascii="宋体" w:hAnsi="宋体" w:eastAsia="宋体"/>
                          <w:sz w:val="21"/>
                          <w:szCs w:val="21"/>
                        </w:rPr>
                      </w:pPr>
                    </w:p>
                  </w:txbxContent>
                </v:textbox>
              </v:rect>
              <v:line id="Line 1328" o:spid="_x0000_s1286"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">
                <v:path arrowok="t"/>
                <v:fill focussize="0,0"/>
                <v:stroke endarrow="block"/>
                <v:imagedata o:title=""/>
                <o:lock v:ext="edit"/>
              </v:line>
            </v:group>
            <v:group id="Group 1329" o:spid="_x0000_s1287" o:spt="203" style="position:absolute;left:5098;top:5079;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">
              <o:lock v:ext="edit"/>
              <v:rect id="Rectangle 1330" o:spid="_x0000_s1288"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划分评价单元</w:t>
                      </w:r>
                    </w:p>
                    <w:p>
                      <w:pPr>
                        <w:rPr>
                          <w:rFonts w:ascii="宋体" w:hAnsi="宋体" w:eastAsia="宋体"/>
                          <w:sz w:val="21"/>
                          <w:szCs w:val="21"/>
                        </w:rPr>
                      </w:pPr>
                    </w:p>
                  </w:txbxContent>
                </v:textbox>
              </v:rect>
              <v:line id="Line 1331" o:spid="_x0000_s1289"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">
                <v:path arrowok="t"/>
                <v:fill focussize="0,0"/>
                <v:stroke endarrow="block"/>
                <v:imagedata o:title=""/>
                <o:lock v:ext="edit"/>
              </v:line>
            </v:group>
            <v:group id="Group 1332" o:spid="_x0000_s1290" o:spt="203" style="position:absolute;left:5098;top:6171;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o:lock v:ext="edit"/>
              <v:rect id="Rectangle 1333" o:spid="_x0000_s1291"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定性、定量评价</w:t>
                      </w:r>
                    </w:p>
                    <w:p>
                      <w:pPr>
                        <w:rPr>
                          <w:rFonts w:ascii="宋体" w:hAnsi="宋体" w:eastAsia="宋体"/>
                          <w:sz w:val="21"/>
                          <w:szCs w:val="21"/>
                        </w:rPr>
                      </w:pPr>
                    </w:p>
                  </w:txbxContent>
                </v:textbox>
              </v:rect>
              <v:line id="Line 1334" o:spid="_x0000_s1292"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">
                <v:path arrowok="t"/>
                <v:fill focussize="0,0"/>
                <v:stroke endarrow="block"/>
                <v:imagedata o:title=""/>
                <o:lock v:ext="edit"/>
              </v:line>
            </v:group>
            <v:group id="Group 1335" o:spid="_x0000_s1293" o:spt="203" style="position:absolute;left:5098;top:7263;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">
              <o:lock v:ext="edit"/>
              <v:rect id="Rectangle 1336" o:spid="_x0000_s1294"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提出安全对策措施建议</w:t>
                      </w:r>
                    </w:p>
                    <w:p>
                      <w:pPr>
                        <w:rPr>
                          <w:rFonts w:ascii="宋体" w:hAnsi="宋体" w:eastAsia="宋体"/>
                          <w:sz w:val="21"/>
                          <w:szCs w:val="21"/>
                        </w:rPr>
                      </w:pPr>
                    </w:p>
                  </w:txbxContent>
                </v:textbox>
              </v:rect>
              <v:line id="Line 1337" o:spid="_x0000_s1295"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">
                <v:path arrowok="t"/>
                <v:fill focussize="0,0"/>
                <v:stroke endarrow="block"/>
                <v:imagedata o:title=""/>
                <o:lock v:ext="edit"/>
              </v:line>
            </v:group>
            <v:group id="Group 1338" o:spid="_x0000_s1296" o:spt="203" style="position:absolute;left:5098;top:8355;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">
              <o:lock v:ext="edit"/>
              <v:rect id="Rectangle 1339" o:spid="_x0000_s1297"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做出评价结论</w:t>
                      </w:r>
                    </w:p>
                    <w:p>
                      <w:pPr>
                        <w:rPr>
                          <w:rFonts w:ascii="宋体" w:hAnsi="宋体" w:eastAsia="宋体"/>
                          <w:sz w:val="21"/>
                          <w:szCs w:val="21"/>
                        </w:rPr>
                      </w:pPr>
                    </w:p>
                  </w:txbxContent>
                </v:textbox>
              </v:rect>
              <v:line id="Line 1340" o:spid="_x0000_s1298"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">
                <v:path arrowok="t"/>
                <v:fill focussize="0,0"/>
                <v:stroke endarrow="block"/>
                <v:imagedata o:title=""/>
                <o:lock v:ext="edit"/>
              </v:line>
            </v:group>
            <v:rect id="Rectangle 1341" o:spid="_x0000_s1299" o:spt="1" style="position:absolute;left:5038;top:9451;height:472;width:297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安全现状评价报告</w:t>
                    </w:r>
                  </w:p>
                  <w:p>
                    <w:pPr>
                      <w:rPr>
                        <w:rFonts w:ascii="宋体" w:hAnsi="宋体" w:eastAsia="宋体"/>
                        <w:sz w:val="21"/>
                        <w:szCs w:val="21"/>
                      </w:rPr>
                    </w:pPr>
                  </w:p>
                </w:txbxContent>
              </v:textbox>
            </v:rect>
            <w10:wrap type="none"/>
            <w10:anchorlock/>
          </v:group>
        </w:pict>
      </w:r>
    </w:p>
    <w:p>
      <w:pPr>
        <w:spacing w:afterLines="30" w:line="600" w:lineRule="exact"/>
        <w:jc w:val="center"/>
        <w:rPr>
          <w:rFonts w:ascii="宋体" w:hAnsi="宋体" w:eastAsia="宋体"/>
          <w:b/>
          <w:color w:val="auto"/>
        </w:rPr>
      </w:pPr>
      <w:r>
        <w:rPr>
          <w:rFonts w:hint="eastAsia" w:ascii="宋体" w:hAnsi="宋体" w:eastAsia="宋体"/>
          <w:b/>
          <w:color w:val="auto"/>
        </w:rPr>
        <w:t>附图4-3安全评价程序图</w:t>
      </w:r>
    </w:p>
    <w:p>
      <w:pPr>
        <w:spacing w:line="600" w:lineRule="exact"/>
        <w:ind w:firstLine="454" w:firstLineChars="142"/>
        <w:rPr>
          <w:rFonts w:ascii="宋体" w:hAnsi="宋体" w:eastAsia="宋体"/>
          <w:color w:val="auto"/>
          <w:spacing w:val="20"/>
          <w:sz w:val="28"/>
          <w:szCs w:val="28"/>
          <w:lang w:eastAsia="zh-CN"/>
        </w:rPr>
      </w:pPr>
    </w:p>
    <w:p>
      <w:pPr>
        <w:spacing w:line="60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bookmarkStart w:id="214" w:name="bookmark163"/>
      <w:bookmarkStart w:id="215" w:name="bookmark164"/>
      <w:r>
        <w:rPr>
          <w:snapToGrid/>
          <w:color w:val="auto"/>
        </w:rPr>
        <w:br w:type="page"/>
      </w:r>
    </w:p>
    <w:p>
      <w:pPr>
        <w:pStyle w:val="3"/>
        <w:spacing w:after="120"/>
        <w:rPr>
          <w:snapToGrid/>
          <w:color w:val="auto"/>
        </w:rPr>
      </w:pPr>
      <w:bookmarkStart w:id="216" w:name="_Toc23283"/>
      <w:r>
        <w:rPr>
          <w:snapToGrid/>
          <w:color w:val="auto"/>
        </w:rPr>
        <w:t>附件5安全评价方法简介</w:t>
      </w:r>
      <w:bookmarkEnd w:id="216"/>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17" w:name="_Toc24663"/>
      <w:r>
        <w:rPr>
          <w:rFonts w:ascii="楷体_GB2312" w:hAnsi="Times New Roman" w:eastAsia="楷体_GB2312" w:cs="Times New Roman"/>
          <w:bCs/>
          <w:color w:val="auto"/>
          <w:kern w:val="2"/>
          <w:sz w:val="32"/>
          <w:lang w:val="en-US" w:eastAsia="zh-CN" w:bidi="ar-SA"/>
        </w:rPr>
        <w:t>附件5.1安全检查表法简介</w:t>
      </w:r>
      <w:bookmarkEnd w:id="214"/>
      <w:bookmarkEnd w:id="215"/>
      <w:bookmarkEnd w:id="217"/>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安全检查表(即SCL法)分析利用检查条款按照相关的标准、规范等对已知的危险类别、设计缺陷以及与一般工艺设备、操作、管理有关的潜在危险性和有害性进行判别检查。为了查找工程、系统中各种设备设施、物料、工件、操作、管理和组织措施中的危险、有害因素，事先把检查对象加以分解，将大系统分割成若干小的子系统，按检查表所列项目逐项检查，避免遗漏。</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安全检查表法是一种最基础、最简便、最广泛使用的危险性评价方法，安全检查表的分类方法可以有许多种，如可按基本类型、检查内容分类，也可按使用场合分类。目前常用安全检查表有定性检查表、半定量检查表和否决型检查表等三种类型。</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定性安全检查表是列出检查要点逐项检查，检查结果以“是”、“否”表示，检查结果不能量化。</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半定量检查表是给每个检查要点赋以分值，检查结果以总分表示，不同的检查对象可以相互比较，但缺点是检查要点的准确赋值比较困难。</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否决型检查表是给一些特别重要的检查要点做出标记，这些检查要点如不满足，检查结果视为不合格，这样可以做到要点突出。</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本评价报告采用定性安全检查表进行评价。</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18" w:name="_Toc19111"/>
      <w:r>
        <w:rPr>
          <w:rFonts w:ascii="楷体_GB2312" w:hAnsi="Times New Roman" w:eastAsia="楷体_GB2312" w:cs="Times New Roman"/>
          <w:bCs/>
          <w:color w:val="auto"/>
          <w:kern w:val="2"/>
          <w:sz w:val="32"/>
          <w:lang w:val="en-US" w:eastAsia="zh-CN" w:bidi="ar-SA"/>
        </w:rPr>
        <w:t>附件5.2道化学火灾、爆炸指数评价法介绍</w:t>
      </w:r>
      <w:bookmarkEnd w:id="218"/>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道化学火灾爆炸指数评价法是由美国道化学公司开发的一种危险指数评价方法，火灾、爆炸危险指数法是用于评估特定工艺过程中的最大潜在危险性的一种工具，可使人们预测事故可能导致的实际危害及停产损失。并通过火灾、爆炸危险分析，提出相关措施，为企业的安全生产管理提供依据。</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火灾、爆炸危险指数法评价程序如下：</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选取评价单元</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确定单元物质系数(MF)</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计算一般工艺危险系数(F</w:t>
      </w:r>
      <w:r>
        <w:rPr>
          <w:rFonts w:hint="eastAsia" w:ascii="宋体" w:hAnsi="宋体" w:eastAsia="宋体"/>
          <w:color w:val="auto"/>
          <w:spacing w:val="20"/>
          <w:sz w:val="28"/>
          <w:szCs w:val="28"/>
          <w:vertAlign w:val="subscript"/>
          <w:lang w:eastAsia="zh-CN"/>
        </w:rPr>
        <w:t>1</w:t>
      </w:r>
      <w:r>
        <w:rPr>
          <w:rFonts w:hint="eastAsia"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lang w:eastAsia="zh-CN"/>
        </w:rPr>
        <w:t>计算特殊工艺危险系数(F</w:t>
      </w:r>
      <w:r>
        <w:rPr>
          <w:rFonts w:ascii="宋体" w:hAnsi="宋体" w:eastAsia="宋体"/>
          <w:color w:val="auto"/>
          <w:spacing w:val="20"/>
          <w:sz w:val="28"/>
          <w:szCs w:val="28"/>
          <w:vertAlign w:val="subscript"/>
          <w:lang w:eastAsia="zh-CN"/>
        </w:rPr>
        <w:t>2</w:t>
      </w:r>
      <w:r>
        <w:rPr>
          <w:rFonts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lang w:eastAsia="zh-CN"/>
        </w:rPr>
        <w:t>求取工艺单元危险系数(F</w:t>
      </w:r>
      <w:r>
        <w:rPr>
          <w:rFonts w:ascii="宋体" w:hAnsi="宋体" w:eastAsia="宋体"/>
          <w:color w:val="auto"/>
          <w:spacing w:val="20"/>
          <w:sz w:val="28"/>
          <w:szCs w:val="28"/>
          <w:vertAlign w:val="subscript"/>
          <w:lang w:eastAsia="zh-CN"/>
        </w:rPr>
        <w:t>3</w:t>
      </w:r>
      <w:r>
        <w:rPr>
          <w:rFonts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lang w:eastAsia="zh-CN"/>
        </w:rPr>
        <w:t>确定火灾、爆炸指数(F&amp;EI)</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7)</w:t>
      </w:r>
      <w:r>
        <w:rPr>
          <w:rFonts w:ascii="宋体" w:hAnsi="宋体" w:eastAsia="宋体"/>
          <w:color w:val="auto"/>
          <w:spacing w:val="20"/>
          <w:sz w:val="28"/>
          <w:szCs w:val="28"/>
          <w:lang w:eastAsia="zh-CN"/>
        </w:rPr>
        <w:t>计算安全措施补偿系数C</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8)</w:t>
      </w:r>
      <w:r>
        <w:rPr>
          <w:rFonts w:ascii="宋体" w:hAnsi="宋体" w:eastAsia="宋体"/>
          <w:color w:val="auto"/>
          <w:spacing w:val="20"/>
          <w:sz w:val="28"/>
          <w:szCs w:val="28"/>
          <w:lang w:eastAsia="zh-CN"/>
        </w:rPr>
        <w:t>确定暴露面积(A)</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9)</w:t>
      </w:r>
      <w:r>
        <w:rPr>
          <w:rFonts w:ascii="宋体" w:hAnsi="宋体" w:eastAsia="宋体"/>
          <w:color w:val="auto"/>
          <w:spacing w:val="20"/>
          <w:sz w:val="28"/>
          <w:szCs w:val="28"/>
          <w:lang w:eastAsia="zh-CN"/>
        </w:rPr>
        <w:t>确定危害系数(Y)</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10)</w:t>
      </w:r>
      <w:r>
        <w:rPr>
          <w:rFonts w:ascii="宋体" w:hAnsi="宋体" w:eastAsia="宋体"/>
          <w:color w:val="auto"/>
          <w:spacing w:val="20"/>
          <w:sz w:val="28"/>
          <w:szCs w:val="28"/>
          <w:lang w:eastAsia="zh-CN"/>
        </w:rPr>
        <w:t>确定基本最大可能财产损失(基本MPPD)</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lang w:eastAsia="zh-CN"/>
        </w:rPr>
        <w:t>11)</w:t>
      </w:r>
      <w:r>
        <w:rPr>
          <w:rFonts w:ascii="宋体" w:hAnsi="宋体" w:eastAsia="宋体"/>
          <w:color w:val="auto"/>
          <w:spacing w:val="20"/>
          <w:sz w:val="28"/>
          <w:szCs w:val="28"/>
          <w:lang w:eastAsia="zh-CN"/>
        </w:rPr>
        <w:t>确定实际最大可能财产损失(实际MPPD)</w:t>
      </w:r>
    </w:p>
    <w:p>
      <w:pPr>
        <w:rPr>
          <w:rFonts w:ascii="宋体" w:hAnsi="宋体" w:eastAsia="宋体"/>
          <w:color w:val="auto"/>
          <w:spacing w:val="20"/>
          <w:sz w:val="21"/>
          <w:szCs w:val="21"/>
          <w:lang w:eastAsia="zh-CN"/>
        </w:rPr>
      </w:pPr>
      <w:r>
        <w:rPr>
          <w:rFonts w:ascii="宋体" w:hAnsi="宋体" w:eastAsia="宋体"/>
          <w:color w:val="auto"/>
          <w:sz w:val="21"/>
          <w:szCs w:val="21"/>
          <w:lang w:val="en-US" w:eastAsia="zh-CN" w:bidi="ar-SA"/>
        </w:rPr>
        <w:pict>
          <v:group id="Group 1174" o:spid="_x0000_s1300" o:spt="203" style="height:537.4pt;width:426.75pt;" coordorigin="1693,1574" coordsize="9015,1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">
            <o:lock v:ext="edit"/>
            <v:rect id="Rectangle 1175" o:spid="_x0000_s1301" o:spt="1" style="position:absolute;left:5158;top:1574;height:468;width:210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选取工艺单元</w:t>
                    </w:r>
                  </w:p>
                  <w:p>
                    <w:pPr>
                      <w:rPr>
                        <w:rFonts w:ascii="宋体" w:hAnsi="宋体" w:eastAsia="宋体"/>
                        <w:sz w:val="21"/>
                        <w:szCs w:val="21"/>
                      </w:rPr>
                    </w:pPr>
                  </w:p>
                </w:txbxContent>
              </v:textbox>
            </v:rect>
            <v:rect id="Rectangle 1176" o:spid="_x0000_s1302" o:spt="1" style="position:absolute;left:4843;top:2510;height:468;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确定物质系数（</w:t>
                    </w:r>
                    <w:r>
                      <w:rPr>
                        <w:rFonts w:ascii="宋体" w:hAnsi="宋体" w:eastAsia="宋体"/>
                        <w:sz w:val="21"/>
                        <w:szCs w:val="21"/>
                      </w:rPr>
                      <w:t>MF</w:t>
                    </w:r>
                    <w:r>
                      <w:rPr>
                        <w:rFonts w:hint="eastAsia" w:ascii="宋体" w:hAnsi="宋体" w:eastAsia="宋体"/>
                        <w:sz w:val="21"/>
                        <w:szCs w:val="21"/>
                      </w:rPr>
                      <w:t>）</w:t>
                    </w:r>
                  </w:p>
                  <w:p>
                    <w:pPr>
                      <w:rPr>
                        <w:rFonts w:ascii="宋体" w:hAnsi="宋体" w:eastAsia="宋体"/>
                        <w:sz w:val="21"/>
                        <w:szCs w:val="21"/>
                      </w:rPr>
                    </w:pPr>
                  </w:p>
                </w:txbxContent>
              </v:textbox>
            </v:rect>
            <v:rect id="Rectangle 1177" o:spid="_x0000_s1303" o:spt="1" style="position:absolute;left:2428;top:4226;height:780;width:19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计算一般工艺</w:t>
                    </w:r>
                  </w:p>
                  <w:p>
                    <w:pPr>
                      <w:spacing w:line="0" w:lineRule="atLeast"/>
                      <w:jc w:val="center"/>
                      <w:rPr>
                        <w:rFonts w:ascii="宋体" w:hAnsi="宋体" w:eastAsia="宋体"/>
                        <w:sz w:val="21"/>
                        <w:szCs w:val="21"/>
                      </w:rPr>
                    </w:pPr>
                    <w:r>
                      <w:rPr>
                        <w:rFonts w:hint="eastAsia" w:ascii="宋体" w:hAnsi="宋体" w:eastAsia="宋体"/>
                        <w:sz w:val="21"/>
                        <w:szCs w:val="21"/>
                      </w:rPr>
                      <w:t>危险系数（</w:t>
                    </w:r>
                    <w:r>
                      <w:rPr>
                        <w:rFonts w:ascii="宋体" w:hAnsi="宋体" w:eastAsia="宋体"/>
                        <w:sz w:val="21"/>
                        <w:szCs w:val="21"/>
                      </w:rPr>
                      <w:t>F</w:t>
                    </w:r>
                    <w:r>
                      <w:rPr>
                        <w:rFonts w:ascii="宋体" w:hAnsi="宋体" w:eastAsia="宋体"/>
                        <w:sz w:val="21"/>
                        <w:szCs w:val="21"/>
                        <w:vertAlign w:val="subscript"/>
                      </w:rPr>
                      <w:t>1</w:t>
                    </w:r>
                    <w:r>
                      <w:rPr>
                        <w:rFonts w:hint="eastAsia" w:ascii="宋体" w:hAnsi="宋体" w:eastAsia="宋体"/>
                        <w:sz w:val="21"/>
                        <w:szCs w:val="21"/>
                      </w:rPr>
                      <w:t>）</w:t>
                    </w:r>
                  </w:p>
                  <w:p>
                    <w:pPr>
                      <w:rPr>
                        <w:rFonts w:ascii="宋体" w:hAnsi="宋体" w:eastAsia="宋体"/>
                        <w:sz w:val="21"/>
                        <w:szCs w:val="21"/>
                      </w:rPr>
                    </w:pPr>
                  </w:p>
                </w:txbxContent>
              </v:textbox>
            </v:rect>
            <v:rect id="Rectangle 1178" o:spid="_x0000_s1304" o:spt="1" style="position:absolute;left:7783;top:4226;height:780;width:1939;"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计算特殊工艺</w:t>
                    </w:r>
                  </w:p>
                  <w:p>
                    <w:pPr>
                      <w:spacing w:line="0" w:lineRule="atLeast"/>
                      <w:jc w:val="center"/>
                      <w:rPr>
                        <w:rFonts w:ascii="宋体" w:hAnsi="宋体" w:eastAsia="宋体"/>
                        <w:sz w:val="21"/>
                        <w:szCs w:val="21"/>
                      </w:rPr>
                    </w:pPr>
                    <w:r>
                      <w:rPr>
                        <w:rFonts w:hint="eastAsia" w:ascii="宋体" w:hAnsi="宋体" w:eastAsia="宋体"/>
                        <w:sz w:val="21"/>
                        <w:szCs w:val="21"/>
                      </w:rPr>
                      <w:t>危险系数（</w:t>
                    </w:r>
                    <w:r>
                      <w:rPr>
                        <w:rFonts w:ascii="宋体" w:hAnsi="宋体" w:eastAsia="宋体"/>
                        <w:sz w:val="21"/>
                        <w:szCs w:val="21"/>
                      </w:rPr>
                      <w:t>F</w:t>
                    </w:r>
                    <w:r>
                      <w:rPr>
                        <w:rFonts w:ascii="宋体" w:hAnsi="宋体" w:eastAsia="宋体"/>
                        <w:sz w:val="21"/>
                        <w:szCs w:val="21"/>
                        <w:vertAlign w:val="subscript"/>
                      </w:rPr>
                      <w:t>2</w:t>
                    </w:r>
                    <w:r>
                      <w:rPr>
                        <w:rFonts w:hint="eastAsia" w:ascii="宋体" w:hAnsi="宋体" w:eastAsia="宋体"/>
                        <w:sz w:val="21"/>
                        <w:szCs w:val="21"/>
                      </w:rPr>
                      <w:t>）</w:t>
                    </w:r>
                  </w:p>
                  <w:p>
                    <w:pPr>
                      <w:rPr>
                        <w:rFonts w:ascii="宋体" w:hAnsi="宋体" w:eastAsia="宋体"/>
                        <w:sz w:val="21"/>
                        <w:szCs w:val="21"/>
                      </w:rPr>
                    </w:pPr>
                  </w:p>
                </w:txbxContent>
              </v:textbox>
            </v:rect>
            <v:rect id="Rectangle 1179" o:spid="_x0000_s1305" o:spt="1" style="position:absolute;left:4108;top:6098;height:468;width:420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确定工艺单元危险系数（</w:t>
                    </w:r>
                    <w:r>
                      <w:rPr>
                        <w:rFonts w:ascii="宋体" w:hAnsi="宋体" w:eastAsia="宋体"/>
                        <w:sz w:val="21"/>
                        <w:szCs w:val="21"/>
                      </w:rPr>
                      <w:t>F</w:t>
                    </w:r>
                    <w:r>
                      <w:rPr>
                        <w:rFonts w:ascii="宋体" w:hAnsi="宋体" w:eastAsia="宋体"/>
                        <w:sz w:val="21"/>
                        <w:szCs w:val="21"/>
                        <w:vertAlign w:val="subscript"/>
                      </w:rPr>
                      <w:t>3</w:t>
                    </w:r>
                    <w:r>
                      <w:rPr>
                        <w:rFonts w:ascii="宋体" w:hAnsi="宋体" w:eastAsia="宋体"/>
                        <w:sz w:val="21"/>
                        <w:szCs w:val="21"/>
                      </w:rPr>
                      <w:t>= F</w:t>
                    </w:r>
                    <w:r>
                      <w:rPr>
                        <w:rFonts w:ascii="宋体" w:hAnsi="宋体" w:eastAsia="宋体"/>
                        <w:sz w:val="21"/>
                        <w:szCs w:val="21"/>
                        <w:vertAlign w:val="subscript"/>
                      </w:rPr>
                      <w:t>1</w:t>
                    </w:r>
                    <w:r>
                      <w:rPr>
                        <w:rFonts w:ascii="宋体" w:hAnsi="宋体" w:eastAsia="宋体"/>
                        <w:sz w:val="21"/>
                        <w:szCs w:val="21"/>
                      </w:rPr>
                      <w:t>×F</w:t>
                    </w:r>
                    <w:r>
                      <w:rPr>
                        <w:rFonts w:ascii="宋体" w:hAnsi="宋体" w:eastAsia="宋体"/>
                        <w:sz w:val="21"/>
                        <w:szCs w:val="21"/>
                        <w:vertAlign w:val="subscript"/>
                      </w:rPr>
                      <w:t>2</w:t>
                    </w:r>
                    <w:r>
                      <w:rPr>
                        <w:rFonts w:hint="eastAsia" w:ascii="宋体" w:hAnsi="宋体" w:eastAsia="宋体"/>
                        <w:sz w:val="21"/>
                        <w:szCs w:val="21"/>
                      </w:rPr>
                      <w:t>）</w:t>
                    </w:r>
                  </w:p>
                  <w:p>
                    <w:pPr>
                      <w:rPr>
                        <w:rFonts w:ascii="宋体" w:hAnsi="宋体" w:eastAsia="宋体"/>
                        <w:sz w:val="21"/>
                        <w:szCs w:val="21"/>
                      </w:rPr>
                    </w:pPr>
                  </w:p>
                </w:txbxContent>
              </v:textbox>
            </v:rect>
            <v:rect id="Rectangle 1180" o:spid="_x0000_s1306" o:spt="1" style="position:absolute;left:1693;top:7034;height:780;width:241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计算安全措施补偿系数（</w:t>
                    </w:r>
                    <w:r>
                      <w:rPr>
                        <w:rFonts w:ascii="宋体" w:hAnsi="宋体" w:eastAsia="宋体"/>
                        <w:sz w:val="21"/>
                        <w:szCs w:val="21"/>
                      </w:rPr>
                      <w:t>C=C</w:t>
                    </w:r>
                    <w:r>
                      <w:rPr>
                        <w:rFonts w:ascii="宋体" w:hAnsi="宋体" w:eastAsia="宋体"/>
                        <w:sz w:val="21"/>
                        <w:szCs w:val="21"/>
                        <w:vertAlign w:val="subscript"/>
                      </w:rPr>
                      <w:t>1</w:t>
                    </w:r>
                    <w:r>
                      <w:rPr>
                        <w:rFonts w:ascii="宋体" w:hAnsi="宋体" w:eastAsia="宋体"/>
                        <w:sz w:val="21"/>
                        <w:szCs w:val="21"/>
                      </w:rPr>
                      <w:t>× C</w:t>
                    </w:r>
                    <w:r>
                      <w:rPr>
                        <w:rFonts w:ascii="宋体" w:hAnsi="宋体" w:eastAsia="宋体"/>
                        <w:sz w:val="21"/>
                        <w:szCs w:val="21"/>
                        <w:vertAlign w:val="subscript"/>
                      </w:rPr>
                      <w:t>2</w:t>
                    </w:r>
                    <w:r>
                      <w:rPr>
                        <w:rFonts w:ascii="宋体" w:hAnsi="宋体" w:eastAsia="宋体"/>
                        <w:sz w:val="21"/>
                        <w:szCs w:val="21"/>
                      </w:rPr>
                      <w:t>× C</w:t>
                    </w:r>
                    <w:r>
                      <w:rPr>
                        <w:rFonts w:ascii="宋体" w:hAnsi="宋体" w:eastAsia="宋体"/>
                        <w:sz w:val="21"/>
                        <w:szCs w:val="21"/>
                        <w:vertAlign w:val="subscript"/>
                      </w:rPr>
                      <w:t>3</w:t>
                    </w:r>
                    <w:r>
                      <w:rPr>
                        <w:rFonts w:hint="eastAsia" w:ascii="宋体" w:hAnsi="宋体" w:eastAsia="宋体"/>
                        <w:sz w:val="21"/>
                        <w:szCs w:val="21"/>
                      </w:rPr>
                      <w:t>）</w:t>
                    </w:r>
                  </w:p>
                  <w:p>
                    <w:pPr>
                      <w:rPr>
                        <w:rFonts w:ascii="宋体" w:hAnsi="宋体" w:eastAsia="宋体"/>
                        <w:sz w:val="21"/>
                        <w:szCs w:val="21"/>
                      </w:rPr>
                    </w:pPr>
                  </w:p>
                </w:txbxContent>
              </v:textbox>
            </v:rect>
            <v:rect id="Rectangle 1181" o:spid="_x0000_s1307" o:spt="1" style="position:absolute;left:4948;top:7034;height:780;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确定火灾、爆炸指数</w:t>
                    </w:r>
                  </w:p>
                  <w:p>
                    <w:pPr>
                      <w:spacing w:line="0" w:lineRule="atLeast"/>
                      <w:jc w:val="center"/>
                      <w:rPr>
                        <w:rFonts w:ascii="宋体" w:hAnsi="宋体" w:eastAsia="宋体"/>
                        <w:sz w:val="21"/>
                        <w:szCs w:val="21"/>
                      </w:rPr>
                    </w:pPr>
                    <w:r>
                      <w:rPr>
                        <w:rFonts w:hint="eastAsia" w:ascii="宋体" w:hAnsi="宋体" w:eastAsia="宋体"/>
                        <w:sz w:val="21"/>
                        <w:szCs w:val="21"/>
                        <w:lang w:val="en-GB"/>
                      </w:rPr>
                      <w:t>（</w:t>
                    </w:r>
                    <w:r>
                      <w:rPr>
                        <w:rFonts w:ascii="宋体" w:hAnsi="宋体" w:eastAsia="宋体"/>
                        <w:sz w:val="21"/>
                        <w:szCs w:val="21"/>
                      </w:rPr>
                      <w:t>F&amp;EI=F</w:t>
                    </w:r>
                    <w:r>
                      <w:rPr>
                        <w:rFonts w:ascii="宋体" w:hAnsi="宋体" w:eastAsia="宋体"/>
                        <w:sz w:val="21"/>
                        <w:szCs w:val="21"/>
                        <w:vertAlign w:val="subscript"/>
                      </w:rPr>
                      <w:t>3</w:t>
                    </w:r>
                    <w:r>
                      <w:rPr>
                        <w:rFonts w:ascii="宋体" w:hAnsi="宋体" w:eastAsia="宋体"/>
                        <w:sz w:val="21"/>
                        <w:szCs w:val="21"/>
                      </w:rPr>
                      <w:t>× MF</w:t>
                    </w:r>
                    <w:r>
                      <w:rPr>
                        <w:rFonts w:hint="eastAsia" w:ascii="宋体" w:hAnsi="宋体" w:eastAsia="宋体"/>
                        <w:sz w:val="21"/>
                        <w:szCs w:val="21"/>
                        <w:lang w:val="en-GB"/>
                      </w:rPr>
                      <w:t>）</w:t>
                    </w:r>
                  </w:p>
                  <w:p>
                    <w:pPr>
                      <w:rPr>
                        <w:rFonts w:ascii="宋体" w:hAnsi="宋体" w:eastAsia="宋体"/>
                        <w:sz w:val="21"/>
                        <w:szCs w:val="21"/>
                      </w:rPr>
                    </w:pPr>
                  </w:p>
                </w:txbxContent>
              </v:textbox>
            </v:rect>
            <v:rect id="Rectangle 1182" o:spid="_x0000_s1308" o:spt="1" style="position:absolute;left:5263;top:8282;height:468;width:189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确定暴露面积</w:t>
                    </w:r>
                  </w:p>
                  <w:p>
                    <w:pPr>
                      <w:rPr>
                        <w:rFonts w:ascii="宋体" w:hAnsi="宋体" w:eastAsia="宋体"/>
                        <w:sz w:val="21"/>
                        <w:szCs w:val="21"/>
                      </w:rPr>
                    </w:pPr>
                  </w:p>
                </w:txbxContent>
              </v:textbox>
            </v:rect>
            <v:rect id="Rectangle 1183" o:spid="_x0000_s1309" o:spt="1" style="position:absolute;left:3793;top:9218;height:468;width:46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确定暴露区域内财产的更换价值</w:t>
                    </w:r>
                  </w:p>
                  <w:p>
                    <w:pPr>
                      <w:rPr>
                        <w:rFonts w:ascii="宋体" w:hAnsi="宋体" w:eastAsia="宋体"/>
                        <w:sz w:val="21"/>
                        <w:szCs w:val="21"/>
                      </w:rPr>
                    </w:pPr>
                  </w:p>
                </w:txbxContent>
              </v:textbox>
            </v:rect>
            <v:rect id="Rectangle 1184" o:spid="_x0000_s1310" o:spt="1" style="position:absolute;left:4948;top:10154;height:468;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确定基本</w:t>
                    </w:r>
                    <w:r>
                      <w:rPr>
                        <w:rFonts w:ascii="宋体" w:hAnsi="宋体" w:eastAsia="宋体"/>
                        <w:sz w:val="21"/>
                        <w:szCs w:val="21"/>
                      </w:rPr>
                      <w:t>MPPD</w:t>
                    </w:r>
                  </w:p>
                  <w:p>
                    <w:pPr>
                      <w:rPr>
                        <w:rFonts w:ascii="宋体" w:hAnsi="宋体" w:eastAsia="宋体"/>
                        <w:sz w:val="21"/>
                        <w:szCs w:val="21"/>
                      </w:rPr>
                    </w:pPr>
                  </w:p>
                </w:txbxContent>
              </v:textbox>
            </v:rect>
            <v:rect id="Rectangle 1185" o:spid="_x0000_s1311" o:spt="1" style="position:absolute;left:4948;top:11090;height:468;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确定实际</w:t>
                    </w:r>
                    <w:r>
                      <w:rPr>
                        <w:rFonts w:ascii="宋体" w:hAnsi="宋体" w:eastAsia="宋体"/>
                        <w:sz w:val="21"/>
                        <w:szCs w:val="21"/>
                      </w:rPr>
                      <w:t>MPPD</w:t>
                    </w:r>
                  </w:p>
                  <w:p>
                    <w:pPr>
                      <w:rPr>
                        <w:rFonts w:ascii="宋体" w:hAnsi="宋体" w:eastAsia="宋体"/>
                        <w:sz w:val="21"/>
                        <w:szCs w:val="21"/>
                      </w:rPr>
                    </w:pPr>
                  </w:p>
                </w:txbxContent>
              </v:textbox>
            </v:rect>
            <v:rect id="Rectangle 1186" o:spid="_x0000_s1312" o:spt="1" style="position:absolute;left:4948;top:12026;height:468;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w:t>
                    </w:r>
                    <w:r>
                      <w:rPr>
                        <w:rFonts w:ascii="宋体" w:hAnsi="宋体" w:eastAsia="宋体"/>
                        <w:sz w:val="21"/>
                        <w:szCs w:val="21"/>
                      </w:rPr>
                      <w:t>MPDO</w:t>
                    </w:r>
                  </w:p>
                  <w:p>
                    <w:pPr>
                      <w:rPr>
                        <w:rFonts w:ascii="宋体" w:hAnsi="宋体" w:eastAsia="宋体"/>
                        <w:sz w:val="21"/>
                        <w:szCs w:val="21"/>
                      </w:rPr>
                    </w:pPr>
                  </w:p>
                </w:txbxContent>
              </v:textbox>
            </v:rect>
            <v:line id="Line 1187" o:spid="_x0000_s1313" o:spt="20" style="position:absolute;left:6208;top:2042;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">
              <v:path arrowok="t"/>
              <v:fill focussize="0,0"/>
              <v:stroke endarrow="block"/>
              <v:imagedata o:title=""/>
              <o:lock v:ext="edit"/>
            </v:line>
            <v:line id="Line 1188" o:spid="_x0000_s1314" o:spt="20" style="position:absolute;left:3373;top:3602;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">
              <v:path arrowok="t"/>
              <v:fill focussize="0,0"/>
              <v:stroke endarrow="block"/>
              <v:imagedata o:title=""/>
              <o:lock v:ext="edit"/>
            </v:line>
            <v:line id="Line 1189" o:spid="_x0000_s1315" o:spt="20" style="position:absolute;left:8833;top:3602;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">
              <v:path arrowok="t"/>
              <v:fill focussize="0,0"/>
              <v:stroke endarrow="block"/>
              <v:imagedata o:title=""/>
              <o:lock v:ext="edit"/>
            </v:line>
            <v:line id="Line 1190" o:spid="_x0000_s1316" o:spt="20" style="position:absolute;left:3373;top:3602;height:0;width:54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">
              <v:path arrowok="t"/>
              <v:fill focussize="0,0"/>
              <v:stroke/>
              <v:imagedata o:title=""/>
              <o:lock v:ext="edit"/>
            </v:line>
            <v:line id="Line 1191" o:spid="_x0000_s1317" o:spt="20" style="position:absolute;left:6208;top:2978;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">
              <v:path arrowok="t"/>
              <v:fill focussize="0,0"/>
              <v:stroke endarrow="block"/>
              <v:imagedata o:title=""/>
              <o:lock v:ext="edit"/>
            </v:line>
            <v:line id="Line 1192" o:spid="_x0000_s1318" o:spt="20" style="position:absolute;left:3373;top:500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">
              <v:path arrowok="t"/>
              <v:fill focussize="0,0"/>
              <v:stroke/>
              <v:imagedata o:title=""/>
              <o:lock v:ext="edit"/>
            </v:line>
            <v:line id="Line 1193" o:spid="_x0000_s1319" o:spt="20" style="position:absolute;left:8833;top:500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">
              <v:path arrowok="t"/>
              <v:fill focussize="0,0"/>
              <v:stroke/>
              <v:imagedata o:title=""/>
              <o:lock v:ext="edit"/>
            </v:line>
            <v:line id="Line 1194" o:spid="_x0000_s1320" o:spt="20" style="position:absolute;left:3373;top:5474;height:0;width:54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">
              <v:path arrowok="t"/>
              <v:fill focussize="0,0"/>
              <v:stroke/>
              <v:imagedata o:title=""/>
              <o:lock v:ext="edit"/>
            </v:line>
            <v:line id="Line 1195" o:spid="_x0000_s1321" o:spt="20" style="position:absolute;left:6208;top:5474;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">
              <v:path arrowok="t"/>
              <v:fill focussize="0,0"/>
              <v:stroke endarrow="block"/>
              <v:imagedata o:title=""/>
              <o:lock v:ext="edit"/>
            </v:line>
            <v:line id="Line 1196" o:spid="_x0000_s1322" o:spt="20" style="position:absolute;left:6208;top:656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">
              <v:path arrowok="t"/>
              <v:fill focussize="0,0"/>
              <v:stroke endarrow="block"/>
              <v:imagedata o:title=""/>
              <o:lock v:ext="edit"/>
            </v:line>
            <v:line id="Line 1197" o:spid="_x0000_s1323" o:spt="20" style="position:absolute;left:6208;top:7814;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">
              <v:path arrowok="t"/>
              <v:fill focussize="0,0"/>
              <v:stroke endarrow="block"/>
              <v:imagedata o:title=""/>
              <o:lock v:ext="edit"/>
            </v:line>
            <v:line id="Line 1198" o:spid="_x0000_s1324" o:spt="20" style="position:absolute;left:6208;top:8750;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">
              <v:path arrowok="t"/>
              <v:fill focussize="0,0"/>
              <v:stroke endarrow="block"/>
              <v:imagedata o:title=""/>
              <o:lock v:ext="edit"/>
            </v:line>
            <v:line id="Line 1199" o:spid="_x0000_s1325" o:spt="20" style="position:absolute;left:6208;top:968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">
              <v:path arrowok="t"/>
              <v:fill focussize="0,0"/>
              <v:stroke endarrow="block"/>
              <v:imagedata o:title=""/>
              <o:lock v:ext="edit"/>
            </v:line>
            <v:line id="Line 1200" o:spid="_x0000_s1326" o:spt="20" style="position:absolute;left:2848;top:11246;height:0;width:213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">
              <v:path arrowok="t"/>
              <v:fill focussize="0,0"/>
              <v:stroke endarrow="block"/>
              <v:imagedata o:title=""/>
              <o:lock v:ext="edit"/>
            </v:line>
            <v:line id="Line 1201" o:spid="_x0000_s1327" o:spt="20" style="position:absolute;left:7468;top:10310;flip:x;height:0;width:12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">
              <v:path arrowok="t"/>
              <v:fill focussize="0,0"/>
              <v:stroke endarrow="block"/>
              <v:imagedata o:title=""/>
              <o:lock v:ext="edit"/>
            </v:line>
            <v:line id="Line 1202" o:spid="_x0000_s1328" o:spt="20" style="position:absolute;left:6208;top:10622;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">
              <v:path arrowok="t"/>
              <v:fill focussize="0,0"/>
              <v:stroke endarrow="block"/>
              <v:imagedata o:title=""/>
              <o:lock v:ext="edit"/>
            </v:line>
            <v:line id="Line 1203" o:spid="_x0000_s1329" o:spt="20" style="position:absolute;left:6208;top:11558;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">
              <v:path arrowok="t"/>
              <v:fill focussize="0,0"/>
              <v:stroke endarrow="block"/>
              <v:imagedata o:title=""/>
              <o:lock v:ext="edit"/>
            </v:line>
            <v:line id="Line 1204" o:spid="_x0000_s1330" o:spt="20" style="position:absolute;left:4108;top:7346;flip:x;height:0;width:84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">
              <v:path arrowok="t"/>
              <v:fill focussize="0,0"/>
              <v:stroke endarrow="block"/>
              <v:imagedata o:title=""/>
              <o:lock v:ext="edit"/>
            </v:line>
            <v:line id="Line 1205" o:spid="_x0000_s1331" o:spt="20" style="position:absolute;left:7468;top:12182;height:0;width:12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">
              <v:path arrowok="t"/>
              <v:fill focussize="0,0"/>
              <v:stroke endarrow="block"/>
              <v:imagedata o:title=""/>
              <o:lock v:ext="edit"/>
            </v:line>
            <v:line id="Line 1206" o:spid="_x0000_s1332" o:spt="20" style="position:absolute;left:2848;top:7814;flip:x y;height:343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">
              <v:path arrowok="t"/>
              <v:fill focussize="0,0"/>
              <v:stroke/>
              <v:imagedata o:title=""/>
              <o:lock v:ext="edit"/>
            </v:line>
            <v:line id="Line 1207" o:spid="_x0000_s1333" o:spt="20" style="position:absolute;left:10093;top:2822;height:733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PMxAAAANsAAAAPAAAAZHJzL2Rvd25yZXYueG1sRI9PawIx&#10;FMTvQr9DeIXeNGsL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CphA8zEAAAA2wAAAA8A&#10;AAAAAAAAAAAAAAAABwIAAGRycy9kb3ducmV2LnhtbFBLBQYAAAAAAwADALcAAAD4AgAAAAA=&#10;">
              <v:path arrowok="t"/>
              <v:fill focussize="0,0"/>
              <v:stroke endarrow="block"/>
              <v:imagedata o:title=""/>
              <o:lock v:ext="edit"/>
            </v:line>
            <v:line id="Line 1208" o:spid="_x0000_s1334" o:spt="20" style="position:absolute;left:7678;top:2822;height:0;width:241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gMxgAAANsAAAAPAAAAZHJzL2Rvd25yZXYueG1sRI9Ba8JA&#10;FITvgv9heYI33VhL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LBCYDMYAAADbAAAA&#10;DwAAAAAAAAAAAAAAAAAHAgAAZHJzL2Rvd25yZXYueG1sUEsFBgAAAAADAAMAtwAAAPoCAAAAAA==&#10;">
              <v:path arrowok="t"/>
              <v:fill focussize="0,0"/>
              <v:stroke/>
              <v:imagedata o:title=""/>
              <o:lock v:ext="edit"/>
            </v:line>
            <v:rect id="Rectangle 1209" o:spid="_x0000_s1335" o:spt="1" style="position:absolute;left:8728;top:10154;height:468;width:19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确定危害系数（</w:t>
                    </w:r>
                    <w:r>
                      <w:rPr>
                        <w:rFonts w:ascii="宋体" w:hAnsi="宋体" w:eastAsia="宋体"/>
                        <w:sz w:val="21"/>
                        <w:szCs w:val="21"/>
                      </w:rPr>
                      <w:t>Y</w:t>
                    </w:r>
                    <w:r>
                      <w:rPr>
                        <w:rFonts w:hint="eastAsia" w:ascii="宋体" w:hAnsi="宋体" w:eastAsia="宋体"/>
                        <w:sz w:val="21"/>
                        <w:szCs w:val="21"/>
                      </w:rPr>
                      <w:t>）</w:t>
                    </w:r>
                  </w:p>
                  <w:p>
                    <w:pPr>
                      <w:rPr>
                        <w:rFonts w:ascii="宋体" w:hAnsi="宋体" w:eastAsia="宋体"/>
                        <w:sz w:val="21"/>
                        <w:szCs w:val="21"/>
                      </w:rPr>
                    </w:pPr>
                  </w:p>
                </w:txbxContent>
              </v:textbox>
            </v:rect>
            <v:rect id="Rectangle 1210" o:spid="_x0000_s1336" o:spt="1" style="position:absolute;left:8728;top:12026;height:468;width:19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w:t>
                    </w:r>
                    <w:r>
                      <w:rPr>
                        <w:rFonts w:ascii="宋体" w:hAnsi="宋体" w:eastAsia="宋体"/>
                        <w:sz w:val="21"/>
                        <w:szCs w:val="21"/>
                      </w:rPr>
                      <w:t>BI</w:t>
                    </w:r>
                  </w:p>
                  <w:p>
                    <w:pPr>
                      <w:rPr>
                        <w:rFonts w:ascii="宋体" w:hAnsi="宋体" w:eastAsia="宋体"/>
                        <w:sz w:val="21"/>
                        <w:szCs w:val="21"/>
                      </w:rPr>
                    </w:pPr>
                  </w:p>
                </w:txbxContent>
              </v:textbox>
            </v:rect>
            <v:line id="Line 1211" o:spid="_x0000_s1337" o:spt="20" style="position:absolute;left:8308;top:6410;height:0;width:178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">
              <v:path arrowok="t"/>
              <v:fill focussize="0,0"/>
              <v:stroke endarrow="block"/>
              <v:imagedata o:title=""/>
              <o:lock v:ext="edit"/>
            </v:line>
            <w10:wrap type="none"/>
            <w10:anchorlock/>
          </v:group>
        </w:pict>
      </w:r>
    </w:p>
    <w:p>
      <w:pPr>
        <w:spacing w:afterLines="30" w:line="560" w:lineRule="exact"/>
        <w:jc w:val="center"/>
        <w:rPr>
          <w:rFonts w:ascii="宋体" w:hAnsi="宋体" w:eastAsia="宋体" w:cs="Times New Roman"/>
          <w:b/>
          <w:color w:val="auto"/>
          <w:kern w:val="2"/>
          <w:lang w:val="en-US" w:eastAsia="zh-CN" w:bidi="ar-SA"/>
        </w:rPr>
      </w:pPr>
      <w:r>
        <w:rPr>
          <w:rFonts w:ascii="宋体" w:hAnsi="宋体" w:eastAsia="宋体" w:cs="Times New Roman"/>
          <w:b/>
          <w:color w:val="auto"/>
          <w:kern w:val="2"/>
          <w:lang w:val="en-US" w:eastAsia="zh-CN" w:bidi="ar-SA"/>
        </w:rPr>
        <w:t>道化法(第七版)评价程序图</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19" w:name="_Toc17843"/>
      <w:bookmarkStart w:id="220" w:name="bookmark165"/>
      <w:r>
        <w:rPr>
          <w:rFonts w:ascii="楷体_GB2312" w:hAnsi="Times New Roman" w:eastAsia="楷体_GB2312" w:cs="Times New Roman"/>
          <w:bCs/>
          <w:color w:val="auto"/>
          <w:kern w:val="2"/>
          <w:sz w:val="32"/>
          <w:lang w:val="en-US" w:eastAsia="zh-CN" w:bidi="ar-SA"/>
        </w:rPr>
        <w:t>附件5.</w:t>
      </w:r>
      <w:r>
        <w:rPr>
          <w:rFonts w:hint="eastAsia" w:ascii="楷体_GB2312" w:hAnsi="Times New Roman" w:eastAsia="楷体_GB2312" w:cs="Times New Roman"/>
          <w:bCs/>
          <w:color w:val="auto"/>
          <w:kern w:val="2"/>
          <w:sz w:val="32"/>
          <w:lang w:val="en-US" w:eastAsia="zh-CN" w:bidi="ar-SA"/>
        </w:rPr>
        <w:t>3危险度</w:t>
      </w:r>
      <w:r>
        <w:rPr>
          <w:rFonts w:ascii="楷体_GB2312" w:hAnsi="Times New Roman" w:eastAsia="楷体_GB2312" w:cs="Times New Roman"/>
          <w:bCs/>
          <w:color w:val="auto"/>
          <w:kern w:val="2"/>
          <w:sz w:val="32"/>
          <w:lang w:val="en-US" w:eastAsia="zh-CN" w:bidi="ar-SA"/>
        </w:rPr>
        <w:t>评价法介绍</w:t>
      </w:r>
      <w:bookmarkEnd w:id="219"/>
    </w:p>
    <w:p>
      <w:pPr>
        <w:pStyle w:val="391"/>
        <w:spacing w:line="560" w:lineRule="exact"/>
        <w:ind w:firstLine="560"/>
        <w:rPr>
          <w:rFonts w:ascii="宋体" w:hAnsi="宋体" w:cs="宋体"/>
          <w:color w:val="auto"/>
        </w:rPr>
      </w:pPr>
      <w:r>
        <w:rPr>
          <w:rFonts w:hint="eastAsia" w:ascii="宋体" w:hAnsi="宋体" w:cs="宋体"/>
          <w:color w:val="auto"/>
          <w:szCs w:val="28"/>
        </w:rPr>
        <w:t>危险度评价法是</w:t>
      </w:r>
      <w:r>
        <w:rPr>
          <w:rFonts w:hint="eastAsia" w:ascii="宋体" w:hAnsi="宋体" w:cs="宋体"/>
          <w:color w:val="auto"/>
        </w:rPr>
        <w:t>根据《广东省安全生产监督管理局关于做好危险化学品和烟花爆竹领域风险点危险源排查管控工作的通知》(粤安监〔2016〕121号)的内容，对企业进行定量、定性和综合评定，确定企业危险度等级</w:t>
      </w:r>
      <w:r>
        <w:rPr>
          <w:rFonts w:hint="eastAsia" w:ascii="宋体" w:hAnsi="宋体" w:cs="宋体"/>
          <w:color w:val="auto"/>
          <w:szCs w:val="28"/>
        </w:rPr>
        <w:t>。</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21" w:name="_Toc27206"/>
      <w:r>
        <w:rPr>
          <w:rFonts w:ascii="楷体_GB2312" w:hAnsi="Times New Roman" w:eastAsia="楷体_GB2312" w:cs="Times New Roman"/>
          <w:bCs/>
          <w:color w:val="auto"/>
          <w:kern w:val="2"/>
          <w:sz w:val="32"/>
          <w:lang w:val="en-US" w:eastAsia="zh-CN" w:bidi="ar-SA"/>
        </w:rPr>
        <w:t>附件5.</w:t>
      </w:r>
      <w:r>
        <w:rPr>
          <w:rFonts w:hint="eastAsia" w:ascii="楷体_GB2312" w:hAnsi="Times New Roman" w:eastAsia="楷体_GB2312" w:cs="Times New Roman"/>
          <w:bCs/>
          <w:color w:val="auto"/>
          <w:kern w:val="2"/>
          <w:sz w:val="32"/>
          <w:lang w:val="en-US" w:eastAsia="zh-CN" w:bidi="ar-SA"/>
        </w:rPr>
        <w:t>4</w:t>
      </w:r>
      <w:r>
        <w:rPr>
          <w:rFonts w:ascii="楷体_GB2312" w:hAnsi="Times New Roman" w:eastAsia="楷体_GB2312" w:cs="Times New Roman"/>
          <w:bCs/>
          <w:color w:val="auto"/>
          <w:kern w:val="2"/>
          <w:sz w:val="32"/>
          <w:lang w:val="en-US" w:eastAsia="zh-CN" w:bidi="ar-SA"/>
        </w:rPr>
        <w:t>事故树分析法简介</w:t>
      </w:r>
      <w:bookmarkEnd w:id="220"/>
      <w:bookmarkEnd w:id="221"/>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在生产过程中，由于人的失误、机器设备故障及环境等因素，必然会对要发生的事故造成一定的危险性，为了防止危险性因素导致灾害性后果，就需要分析判断，预测事故发生的可能性有多大，以利于采取消减危险的措施和手段，把事故损失减少到最低程度。事故树分析方法，也称故障树，是预测事故和分析事故的一种科学方法。</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事故树分析是从结果到原因找出与灾害有关的各种因素之间因果关系和逻辑关系的分析法。这种方法是把系统可能发生的事故放在图的最上面，称为顶上事件，按系统构成要素之间的关系，分析与灾害事故有关的原因。如果这些原因是其他一些原因的结果，则称为中间原因事件(中间事件)，应继续往下分析，直到找出不能进一步往下分析的原因为止，这些原因称为基本原因事件(或基本事件)。图中各因果关系用不同的逻辑门符号联接起来，这样得到的图形像一棵倒置的树，即为事故树。通过事故树分析可以找出基本事件及其对顶上事件影响的程度，为采取安全措施、预防事故提供科学的依据。</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事故树分析的基本程序如下：</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熟悉系统一要详细了解系统状态及各种参数，绘出工艺流程图或布置图。</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调查事故一收集事故案例，进行事故统计，设想给定系统可能要发生的事故。</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确定顶上事件一要分析的对象事件即为顶上事件。对所调查的事故进行全面分析，从中找出后果严重且较易发生的事故作为顶上事件。</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lang w:eastAsia="zh-CN"/>
        </w:rPr>
        <w:t>确定目标值一根据经验教训和事故案例，经统计分析后，求解事故发生的概率(频率)，作为要控制的事故目标值。</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lang w:eastAsia="zh-CN"/>
        </w:rPr>
        <w:t>调查原因事件一调查与事故有关的所有原因事件和各种因素。</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lang w:eastAsia="zh-CN"/>
        </w:rPr>
        <w:t>画出事故树一从顶上事件起，一级一级找出直接原因事件，到所要分析的深度，按其逻辑关系，画出事故树。</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7)</w:t>
      </w:r>
      <w:r>
        <w:rPr>
          <w:rFonts w:ascii="宋体" w:hAnsi="宋体" w:eastAsia="宋体"/>
          <w:color w:val="auto"/>
          <w:spacing w:val="20"/>
          <w:sz w:val="28"/>
          <w:szCs w:val="28"/>
          <w:lang w:eastAsia="zh-CN"/>
        </w:rPr>
        <w:t>定性分析-按事故树结构进行简化，确定个基本事件的结构重要度。</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8)</w:t>
      </w:r>
      <w:r>
        <w:rPr>
          <w:rFonts w:ascii="宋体" w:hAnsi="宋体" w:eastAsia="宋体"/>
          <w:color w:val="auto"/>
          <w:spacing w:val="20"/>
          <w:sz w:val="28"/>
          <w:szCs w:val="28"/>
          <w:lang w:eastAsia="zh-CN"/>
        </w:rPr>
        <w:t>求出事故发生概率-确定所有原因发生概率，标在事故树上，并进而求出顶上事件(事故)发生概率。</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9)</w:t>
      </w:r>
      <w:r>
        <w:rPr>
          <w:rFonts w:ascii="宋体" w:hAnsi="宋体" w:eastAsia="宋体"/>
          <w:color w:val="auto"/>
          <w:spacing w:val="20"/>
          <w:sz w:val="28"/>
          <w:szCs w:val="28"/>
          <w:lang w:eastAsia="zh-CN"/>
        </w:rPr>
        <w:t>进行比较-分可维修系统和不可维修系统进行讨论，前者要进行对比，后者求出顶上事件发生概率即可。</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10)</w:t>
      </w:r>
      <w:r>
        <w:rPr>
          <w:rFonts w:ascii="宋体" w:hAnsi="宋体" w:eastAsia="宋体"/>
          <w:color w:val="auto"/>
          <w:spacing w:val="20"/>
          <w:sz w:val="28"/>
          <w:szCs w:val="28"/>
          <w:lang w:eastAsia="zh-CN"/>
        </w:rPr>
        <w:t>定量分析-在我国FTA—般都考虑到第7步进行定性分析为止，也能取得较好效果。在本次的安全评价中，采用事故树进行分析时，同样也考虑用其进行定性分析。</w:t>
      </w:r>
    </w:p>
    <w:p>
      <w:pPr>
        <w:spacing w:line="560" w:lineRule="exact"/>
        <w:ind w:firstLine="454" w:firstLineChars="142"/>
        <w:rPr>
          <w:rFonts w:ascii="宋体" w:hAnsi="宋体" w:eastAsia="宋体"/>
          <w:color w:val="auto"/>
          <w:spacing w:val="20"/>
          <w:sz w:val="28"/>
          <w:szCs w:val="28"/>
          <w:lang w:eastAsia="zh-CN"/>
        </w:rPr>
      </w:pPr>
    </w:p>
    <w:p>
      <w:pPr>
        <w:spacing w:line="56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bookmarkStart w:id="222" w:name="bookmark167"/>
      <w:bookmarkStart w:id="223" w:name="bookmark166"/>
      <w:r>
        <w:rPr>
          <w:snapToGrid/>
          <w:color w:val="auto"/>
        </w:rPr>
        <w:br w:type="page"/>
      </w:r>
    </w:p>
    <w:p>
      <w:pPr>
        <w:pStyle w:val="3"/>
        <w:spacing w:after="120"/>
        <w:rPr>
          <w:snapToGrid/>
          <w:color w:val="auto"/>
        </w:rPr>
      </w:pPr>
      <w:bookmarkStart w:id="224" w:name="_Toc12373"/>
      <w:r>
        <w:rPr>
          <w:snapToGrid/>
          <w:color w:val="auto"/>
        </w:rPr>
        <w:t>附件6法定检测情况汇总</w:t>
      </w:r>
      <w:bookmarkEnd w:id="222"/>
      <w:bookmarkEnd w:id="223"/>
      <w:bookmarkEnd w:id="224"/>
    </w:p>
    <w:p>
      <w:pPr>
        <w:spacing w:afterLines="30" w:line="560" w:lineRule="exact"/>
        <w:jc w:val="center"/>
        <w:rPr>
          <w:rFonts w:ascii="宋体" w:hAnsi="宋体" w:eastAsia="宋体"/>
          <w:b/>
          <w:color w:val="auto"/>
        </w:rPr>
      </w:pPr>
      <w:bookmarkStart w:id="225" w:name="bookmark169"/>
      <w:bookmarkStart w:id="226" w:name="bookmark168"/>
      <w:r>
        <w:rPr>
          <w:rFonts w:hint="eastAsia" w:ascii="宋体" w:hAnsi="宋体" w:eastAsia="宋体"/>
          <w:b/>
          <w:color w:val="auto"/>
        </w:rPr>
        <w:t>法定检验、检测汇总表</w:t>
      </w:r>
    </w:p>
    <w:tbl>
      <w:tblPr>
        <w:tblStyle w:val="46"/>
        <w:tblW w:w="940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4"/>
        <w:gridCol w:w="1546"/>
        <w:gridCol w:w="1718"/>
        <w:gridCol w:w="2914"/>
        <w:gridCol w:w="1560"/>
        <w:gridCol w:w="92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序号</w:t>
            </w:r>
          </w:p>
        </w:tc>
        <w:tc>
          <w:tcPr>
            <w:tcW w:w="1546"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检测项目</w:t>
            </w:r>
          </w:p>
        </w:tc>
        <w:tc>
          <w:tcPr>
            <w:tcW w:w="171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检测单位</w:t>
            </w:r>
          </w:p>
        </w:tc>
        <w:tc>
          <w:tcPr>
            <w:tcW w:w="291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编 号</w:t>
            </w:r>
          </w:p>
        </w:tc>
        <w:tc>
          <w:tcPr>
            <w:tcW w:w="156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结 论</w:t>
            </w:r>
          </w:p>
        </w:tc>
        <w:tc>
          <w:tcPr>
            <w:tcW w:w="928"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备 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4" w:type="dxa"/>
            <w:vMerge w:val="restart"/>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1546" w:type="dxa"/>
            <w:vMerge w:val="restart"/>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建筑工程消防验收意见书</w:t>
            </w:r>
          </w:p>
        </w:tc>
        <w:tc>
          <w:tcPr>
            <w:tcW w:w="171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东莞市公安局大岭山分局</w:t>
            </w:r>
          </w:p>
        </w:tc>
        <w:tc>
          <w:tcPr>
            <w:tcW w:w="291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东公消验字[2006]第30-0004号</w:t>
            </w:r>
          </w:p>
        </w:tc>
        <w:tc>
          <w:tcPr>
            <w:tcW w:w="1560"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验收合格。</w:t>
            </w:r>
          </w:p>
        </w:tc>
        <w:tc>
          <w:tcPr>
            <w:tcW w:w="92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4" w:type="dxa"/>
            <w:vMerge w:val="continue"/>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c>
          <w:tcPr>
            <w:tcW w:w="1546" w:type="dxa"/>
            <w:vMerge w:val="continue"/>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c>
          <w:tcPr>
            <w:tcW w:w="171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东莞市公安消防局第一大队</w:t>
            </w:r>
          </w:p>
        </w:tc>
        <w:tc>
          <w:tcPr>
            <w:tcW w:w="291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东公消验字[2007]第01-448号</w:t>
            </w:r>
          </w:p>
        </w:tc>
        <w:tc>
          <w:tcPr>
            <w:tcW w:w="1560"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验收合格。</w:t>
            </w:r>
          </w:p>
        </w:tc>
        <w:tc>
          <w:tcPr>
            <w:tcW w:w="92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4" w:type="dxa"/>
            <w:vMerge w:val="continue"/>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c>
          <w:tcPr>
            <w:tcW w:w="1546" w:type="dxa"/>
            <w:vMerge w:val="continue"/>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c>
          <w:tcPr>
            <w:tcW w:w="171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东莞市公安消防局大岭山大队</w:t>
            </w:r>
          </w:p>
        </w:tc>
        <w:tc>
          <w:tcPr>
            <w:tcW w:w="291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东公岭消验字[2016]第0073号</w:t>
            </w:r>
          </w:p>
        </w:tc>
        <w:tc>
          <w:tcPr>
            <w:tcW w:w="1560"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验收合格。</w:t>
            </w:r>
          </w:p>
        </w:tc>
        <w:tc>
          <w:tcPr>
            <w:tcW w:w="92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4" w:type="dxa"/>
            <w:vMerge w:val="restart"/>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1546" w:type="dxa"/>
            <w:vMerge w:val="restart"/>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防雷装置检测报告</w:t>
            </w:r>
          </w:p>
        </w:tc>
        <w:tc>
          <w:tcPr>
            <w:tcW w:w="1718" w:type="dxa"/>
            <w:vMerge w:val="restart"/>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广东省气象防灾技术服务中心</w:t>
            </w:r>
          </w:p>
        </w:tc>
        <w:tc>
          <w:tcPr>
            <w:tcW w:w="291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报告编号：</w:t>
            </w:r>
            <w:r>
              <w:rPr>
                <w:rFonts w:hint="eastAsia" w:ascii="宋体" w:hAnsi="宋体" w:eastAsia="宋体" w:cs="宋体"/>
                <w:color w:val="auto"/>
                <w:kern w:val="2"/>
                <w:sz w:val="21"/>
                <w:szCs w:val="21"/>
                <w:lang w:eastAsia="zh-CN"/>
              </w:rPr>
              <w:t>粤雷检</w:t>
            </w:r>
            <w:r>
              <w:rPr>
                <w:rFonts w:hint="eastAsia" w:ascii="宋体" w:hAnsi="宋体" w:eastAsia="宋体" w:cs="宋体"/>
                <w:color w:val="auto"/>
                <w:kern w:val="2"/>
                <w:sz w:val="21"/>
                <w:szCs w:val="21"/>
                <w:lang w:val="en-US" w:eastAsia="zh-CN"/>
              </w:rPr>
              <w:t>[2020]YFS-4-2950号</w:t>
            </w:r>
            <w:r>
              <w:rPr>
                <w:rFonts w:hint="eastAsia" w:ascii="宋体" w:hAnsi="宋体" w:eastAsia="宋体" w:cs="宋体"/>
                <w:color w:val="auto"/>
                <w:kern w:val="2"/>
                <w:sz w:val="21"/>
                <w:szCs w:val="21"/>
              </w:rPr>
              <w:t>，有效期至</w:t>
            </w:r>
            <w:r>
              <w:rPr>
                <w:rFonts w:hint="eastAsia" w:ascii="宋体" w:hAnsi="宋体" w:eastAsia="宋体" w:cs="宋体"/>
                <w:color w:val="auto"/>
                <w:kern w:val="2"/>
                <w:sz w:val="21"/>
                <w:szCs w:val="21"/>
                <w:lang w:val="en-US" w:eastAsia="zh-CN"/>
              </w:rPr>
              <w:t>2021</w:t>
            </w:r>
            <w:r>
              <w:rPr>
                <w:rFonts w:hint="eastAsia" w:ascii="宋体" w:hAnsi="宋体" w:eastAsia="宋体" w:cs="宋体"/>
                <w:color w:val="auto"/>
                <w:kern w:val="2"/>
                <w:sz w:val="21"/>
                <w:szCs w:val="21"/>
              </w:rPr>
              <w:t>年12月1</w:t>
            </w: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rPr>
              <w:t>日</w:t>
            </w:r>
          </w:p>
        </w:tc>
        <w:tc>
          <w:tcPr>
            <w:tcW w:w="1560" w:type="dxa"/>
            <w:vMerge w:val="restart"/>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经检测，被检建(构)筑物本次所检项目符合检测依据要求。</w:t>
            </w:r>
          </w:p>
        </w:tc>
        <w:tc>
          <w:tcPr>
            <w:tcW w:w="92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34" w:type="dxa"/>
            <w:vMerge w:val="continue"/>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p>
        </w:tc>
        <w:tc>
          <w:tcPr>
            <w:tcW w:w="1546" w:type="dxa"/>
            <w:vMerge w:val="continue"/>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c>
          <w:tcPr>
            <w:tcW w:w="1718" w:type="dxa"/>
            <w:vMerge w:val="continue"/>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c>
          <w:tcPr>
            <w:tcW w:w="2914"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粤雷检</w:t>
            </w:r>
            <w:r>
              <w:rPr>
                <w:rFonts w:hint="eastAsia" w:ascii="宋体" w:hAnsi="宋体" w:eastAsia="宋体" w:cs="宋体"/>
                <w:color w:val="auto"/>
                <w:kern w:val="2"/>
                <w:sz w:val="21"/>
                <w:szCs w:val="21"/>
                <w:lang w:val="en-US" w:eastAsia="zh-CN"/>
              </w:rPr>
              <w:t>[2020]YFS-2-2953号</w:t>
            </w:r>
            <w:r>
              <w:rPr>
                <w:rFonts w:hint="eastAsia" w:ascii="宋体" w:hAnsi="宋体" w:eastAsia="宋体" w:cs="宋体"/>
                <w:color w:val="auto"/>
                <w:kern w:val="2"/>
                <w:sz w:val="21"/>
                <w:szCs w:val="21"/>
              </w:rPr>
              <w:t>，有效期至20</w:t>
            </w:r>
            <w:r>
              <w:rPr>
                <w:rFonts w:hint="eastAsia" w:ascii="宋体" w:hAnsi="宋体" w:eastAsia="宋体" w:cs="宋体"/>
                <w:color w:val="auto"/>
                <w:kern w:val="2"/>
                <w:sz w:val="21"/>
                <w:szCs w:val="21"/>
                <w:lang w:val="en-US" w:eastAsia="zh-CN"/>
              </w:rPr>
              <w:t>21</w:t>
            </w:r>
            <w:r>
              <w:rPr>
                <w:rFonts w:hint="eastAsia" w:ascii="宋体" w:hAnsi="宋体" w:eastAsia="宋体" w:cs="宋体"/>
                <w:color w:val="auto"/>
                <w:kern w:val="2"/>
                <w:sz w:val="21"/>
                <w:szCs w:val="21"/>
              </w:rPr>
              <w:t>年0</w:t>
            </w:r>
            <w:r>
              <w:rPr>
                <w:rFonts w:hint="eastAsia" w:ascii="宋体" w:hAnsi="宋体" w:eastAsia="宋体" w:cs="宋体"/>
                <w:color w:val="auto"/>
                <w:kern w:val="2"/>
                <w:sz w:val="21"/>
                <w:szCs w:val="21"/>
                <w:lang w:val="en-US" w:eastAsia="zh-CN"/>
              </w:rPr>
              <w:t>6</w:t>
            </w:r>
            <w:r>
              <w:rPr>
                <w:rFonts w:hint="eastAsia" w:ascii="宋体" w:hAnsi="宋体" w:eastAsia="宋体" w:cs="宋体"/>
                <w:color w:val="auto"/>
                <w:kern w:val="2"/>
                <w:sz w:val="21"/>
                <w:szCs w:val="21"/>
              </w:rPr>
              <w:t>月</w:t>
            </w:r>
            <w:r>
              <w:rPr>
                <w:rFonts w:hint="eastAsia" w:ascii="宋体" w:hAnsi="宋体" w:eastAsia="宋体" w:cs="宋体"/>
                <w:color w:val="auto"/>
                <w:kern w:val="2"/>
                <w:sz w:val="21"/>
                <w:szCs w:val="21"/>
                <w:lang w:val="en-US" w:eastAsia="zh-CN"/>
              </w:rPr>
              <w:t>14</w:t>
            </w:r>
            <w:r>
              <w:rPr>
                <w:rFonts w:hint="eastAsia" w:ascii="宋体" w:hAnsi="宋体" w:eastAsia="宋体" w:cs="宋体"/>
                <w:color w:val="auto"/>
                <w:kern w:val="2"/>
                <w:sz w:val="21"/>
                <w:szCs w:val="21"/>
              </w:rPr>
              <w:t>日</w:t>
            </w:r>
          </w:p>
        </w:tc>
        <w:tc>
          <w:tcPr>
            <w:tcW w:w="1560" w:type="dxa"/>
            <w:vMerge w:val="continue"/>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c>
          <w:tcPr>
            <w:tcW w:w="928" w:type="dxa"/>
            <w:noWrap w:val="0"/>
            <w:vAlign w:val="center"/>
          </w:tcPr>
          <w:p>
            <w:pPr>
              <w:keepNext w:val="0"/>
              <w:keepLines w:val="0"/>
              <w:suppressLineNumbers w:val="0"/>
              <w:spacing w:before="0" w:beforeAutospacing="0" w:after="0" w:afterAutospacing="0" w:line="360" w:lineRule="exact"/>
              <w:ind w:left="0" w:right="0"/>
              <w:rPr>
                <w:rFonts w:hint="eastAsia" w:ascii="宋体" w:hAnsi="宋体" w:eastAsia="宋体" w:cs="宋体"/>
                <w:color w:val="auto"/>
                <w:kern w:val="2"/>
                <w:sz w:val="21"/>
                <w:szCs w:val="21"/>
              </w:rPr>
            </w:pPr>
          </w:p>
        </w:tc>
      </w:tr>
    </w:tbl>
    <w:p>
      <w:pPr>
        <w:spacing w:line="560" w:lineRule="exact"/>
        <w:ind w:firstLine="454" w:firstLineChars="142"/>
        <w:rPr>
          <w:rFonts w:ascii="宋体" w:hAnsi="宋体" w:eastAsia="宋体"/>
          <w:color w:val="auto"/>
          <w:spacing w:val="20"/>
          <w:sz w:val="28"/>
          <w:szCs w:val="28"/>
        </w:rPr>
      </w:pPr>
    </w:p>
    <w:p>
      <w:pPr>
        <w:spacing w:line="560" w:lineRule="exact"/>
        <w:ind w:firstLine="454" w:firstLineChars="142"/>
        <w:rPr>
          <w:rFonts w:ascii="宋体" w:hAnsi="宋体" w:eastAsia="宋体"/>
          <w:color w:val="auto"/>
          <w:spacing w:val="20"/>
          <w:sz w:val="28"/>
          <w:szCs w:val="28"/>
          <w:lang w:eastAsia="zh-CN"/>
        </w:rPr>
      </w:pPr>
    </w:p>
    <w:p>
      <w:pPr>
        <w:spacing w:line="56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r>
        <w:rPr>
          <w:snapToGrid/>
          <w:color w:val="auto"/>
        </w:rPr>
        <w:br w:type="page"/>
      </w:r>
    </w:p>
    <w:p>
      <w:pPr>
        <w:pStyle w:val="3"/>
        <w:spacing w:after="120"/>
        <w:rPr>
          <w:snapToGrid/>
          <w:color w:val="auto"/>
        </w:rPr>
      </w:pPr>
      <w:bookmarkStart w:id="227" w:name="_Toc9219"/>
      <w:r>
        <w:rPr>
          <w:snapToGrid/>
          <w:color w:val="auto"/>
        </w:rPr>
        <w:t>附件7被评价单位提供的原始资料</w:t>
      </w:r>
      <w:bookmarkEnd w:id="225"/>
      <w:bookmarkEnd w:id="226"/>
      <w:bookmarkEnd w:id="227"/>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rPr>
        <w:t>营业执照</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rPr>
        <w:t>原安全生产许可证副本</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rPr>
        <w:t>危险化学品登记证书</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val="en-US" w:eastAsia="zh-CN"/>
        </w:rPr>
        <w:t>4</w:t>
      </w:r>
      <w:r>
        <w:rPr>
          <w:rFonts w:hint="eastAsia" w:ascii="宋体" w:hAnsi="宋体" w:eastAsia="宋体"/>
          <w:color w:val="auto"/>
          <w:spacing w:val="20"/>
          <w:sz w:val="28"/>
          <w:szCs w:val="28"/>
        </w:rPr>
        <w:t>.土地使用证</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val="en-US" w:eastAsia="zh-CN"/>
        </w:rPr>
        <w:t>5</w:t>
      </w:r>
      <w:r>
        <w:rPr>
          <w:rFonts w:hint="eastAsia" w:ascii="宋体" w:hAnsi="宋体" w:eastAsia="宋体"/>
          <w:color w:val="auto"/>
          <w:spacing w:val="20"/>
          <w:sz w:val="28"/>
          <w:szCs w:val="28"/>
        </w:rPr>
        <w:t>.建筑工程消防验收批文</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val="en-US" w:eastAsia="zh-CN"/>
        </w:rPr>
        <w:t>6</w:t>
      </w:r>
      <w:r>
        <w:rPr>
          <w:rFonts w:hint="eastAsia" w:ascii="宋体" w:hAnsi="宋体" w:eastAsia="宋体"/>
          <w:color w:val="auto"/>
          <w:spacing w:val="20"/>
          <w:sz w:val="28"/>
          <w:szCs w:val="28"/>
        </w:rPr>
        <w:t>.主要负责人、安全管理人员</w:t>
      </w:r>
      <w:r>
        <w:rPr>
          <w:rFonts w:hint="eastAsia" w:ascii="宋体" w:hAnsi="宋体" w:eastAsia="宋体"/>
          <w:color w:val="auto"/>
          <w:spacing w:val="20"/>
          <w:sz w:val="28"/>
          <w:szCs w:val="28"/>
          <w:lang w:eastAsia="zh-CN"/>
        </w:rPr>
        <w:t>、分管安全负责人</w:t>
      </w:r>
      <w:r>
        <w:rPr>
          <w:rFonts w:hint="eastAsia" w:ascii="宋体" w:hAnsi="宋体" w:eastAsia="宋体"/>
          <w:color w:val="auto"/>
          <w:spacing w:val="20"/>
          <w:sz w:val="28"/>
          <w:szCs w:val="28"/>
        </w:rPr>
        <w:t>任命书</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val="en-US" w:eastAsia="zh-CN"/>
        </w:rPr>
        <w:t>7</w:t>
      </w:r>
      <w:r>
        <w:rPr>
          <w:rFonts w:hint="eastAsia" w:ascii="宋体" w:hAnsi="宋体" w:eastAsia="宋体"/>
          <w:color w:val="auto"/>
          <w:spacing w:val="20"/>
          <w:sz w:val="28"/>
          <w:szCs w:val="28"/>
        </w:rPr>
        <w:t>.</w:t>
      </w:r>
      <w:r>
        <w:rPr>
          <w:rFonts w:ascii="宋体" w:hAnsi="宋体" w:eastAsia="宋体"/>
          <w:color w:val="auto"/>
          <w:spacing w:val="20"/>
          <w:sz w:val="28"/>
          <w:szCs w:val="28"/>
        </w:rPr>
        <w:t>主要负责人、安全管理人员</w:t>
      </w:r>
      <w:r>
        <w:rPr>
          <w:rFonts w:hint="eastAsia" w:ascii="宋体" w:hAnsi="宋体" w:eastAsia="宋体"/>
          <w:color w:val="auto"/>
          <w:spacing w:val="20"/>
          <w:sz w:val="28"/>
          <w:szCs w:val="28"/>
          <w:lang w:eastAsia="zh-CN"/>
        </w:rPr>
        <w:t>、注册安全工程师及相关</w:t>
      </w:r>
      <w:r>
        <w:rPr>
          <w:rFonts w:ascii="宋体" w:hAnsi="宋体" w:eastAsia="宋体"/>
          <w:color w:val="auto"/>
          <w:spacing w:val="20"/>
          <w:sz w:val="28"/>
          <w:szCs w:val="28"/>
        </w:rPr>
        <w:t>资格证书及学历证书</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val="en-US" w:eastAsia="zh-CN"/>
        </w:rPr>
        <w:t>8</w:t>
      </w:r>
      <w:r>
        <w:rPr>
          <w:rFonts w:hint="eastAsia" w:ascii="宋体" w:hAnsi="宋体" w:eastAsia="宋体"/>
          <w:color w:val="auto"/>
          <w:spacing w:val="20"/>
          <w:sz w:val="28"/>
          <w:szCs w:val="28"/>
        </w:rPr>
        <w:t>.应急预案备案证明</w:t>
      </w:r>
    </w:p>
    <w:p>
      <w:pPr>
        <w:spacing w:line="360" w:lineRule="auto"/>
        <w:rPr>
          <w:rFonts w:ascii="宋体" w:hAnsi="宋体" w:eastAsia="宋体"/>
          <w:color w:val="auto"/>
          <w:spacing w:val="20"/>
          <w:sz w:val="28"/>
          <w:szCs w:val="28"/>
        </w:rPr>
      </w:pPr>
      <w:r>
        <w:rPr>
          <w:rFonts w:hint="eastAsia" w:ascii="宋体" w:hAnsi="宋体" w:eastAsia="宋体"/>
          <w:color w:val="auto"/>
          <w:spacing w:val="20"/>
          <w:sz w:val="28"/>
          <w:szCs w:val="28"/>
          <w:lang w:val="en-US" w:eastAsia="zh-CN"/>
        </w:rPr>
        <w:t>9</w:t>
      </w:r>
      <w:r>
        <w:rPr>
          <w:rFonts w:hint="eastAsia" w:ascii="宋体" w:hAnsi="宋体" w:eastAsia="宋体"/>
          <w:color w:val="auto"/>
          <w:spacing w:val="20"/>
          <w:sz w:val="28"/>
          <w:szCs w:val="28"/>
        </w:rPr>
        <w:t>.工伤保险缴费证明</w:t>
      </w:r>
    </w:p>
    <w:p>
      <w:pPr>
        <w:spacing w:line="360" w:lineRule="auto"/>
        <w:rPr>
          <w:rFonts w:hint="eastAsia" w:ascii="宋体" w:hAnsi="宋体" w:eastAsia="宋体"/>
          <w:color w:val="auto"/>
          <w:spacing w:val="20"/>
          <w:sz w:val="28"/>
          <w:szCs w:val="28"/>
        </w:rPr>
      </w:pPr>
      <w:r>
        <w:rPr>
          <w:rFonts w:hint="eastAsia" w:ascii="宋体" w:hAnsi="宋体" w:eastAsia="宋体"/>
          <w:color w:val="auto"/>
          <w:spacing w:val="20"/>
          <w:sz w:val="28"/>
          <w:szCs w:val="28"/>
        </w:rPr>
        <w:t>1</w:t>
      </w:r>
      <w:r>
        <w:rPr>
          <w:rFonts w:hint="eastAsia" w:ascii="宋体" w:hAnsi="宋体" w:eastAsia="宋体"/>
          <w:color w:val="auto"/>
          <w:spacing w:val="20"/>
          <w:sz w:val="28"/>
          <w:szCs w:val="28"/>
          <w:lang w:val="en-US" w:eastAsia="zh-CN"/>
        </w:rPr>
        <w:t>0</w:t>
      </w:r>
      <w:r>
        <w:rPr>
          <w:rFonts w:hint="eastAsia" w:ascii="宋体" w:hAnsi="宋体" w:eastAsia="宋体"/>
          <w:color w:val="auto"/>
          <w:spacing w:val="20"/>
          <w:sz w:val="28"/>
          <w:szCs w:val="28"/>
        </w:rPr>
        <w:t>.安全</w:t>
      </w:r>
      <w:r>
        <w:rPr>
          <w:rFonts w:hint="eastAsia" w:ascii="宋体" w:hAnsi="宋体" w:eastAsia="宋体"/>
          <w:color w:val="auto"/>
          <w:spacing w:val="20"/>
          <w:sz w:val="28"/>
          <w:szCs w:val="28"/>
          <w:lang w:eastAsia="zh-CN"/>
        </w:rPr>
        <w:t>生产</w:t>
      </w:r>
      <w:r>
        <w:rPr>
          <w:rFonts w:hint="eastAsia" w:ascii="宋体" w:hAnsi="宋体" w:eastAsia="宋体"/>
          <w:color w:val="auto"/>
          <w:spacing w:val="20"/>
          <w:sz w:val="28"/>
          <w:szCs w:val="28"/>
        </w:rPr>
        <w:t>管理</w:t>
      </w:r>
      <w:r>
        <w:rPr>
          <w:rFonts w:hint="eastAsia" w:ascii="宋体" w:hAnsi="宋体" w:eastAsia="宋体"/>
          <w:color w:val="auto"/>
          <w:spacing w:val="20"/>
          <w:sz w:val="28"/>
          <w:szCs w:val="28"/>
          <w:lang w:eastAsia="zh-CN"/>
        </w:rPr>
        <w:t>组织架构图</w:t>
      </w:r>
    </w:p>
    <w:p>
      <w:pPr>
        <w:spacing w:line="360" w:lineRule="auto"/>
        <w:rPr>
          <w:rFonts w:hint="eastAsia" w:ascii="宋体" w:hAnsi="宋体" w:eastAsia="宋体"/>
          <w:color w:val="auto"/>
          <w:spacing w:val="20"/>
          <w:sz w:val="28"/>
          <w:szCs w:val="28"/>
        </w:rPr>
      </w:pPr>
      <w:r>
        <w:rPr>
          <w:rFonts w:hint="eastAsia" w:ascii="宋体" w:hAnsi="宋体" w:eastAsia="宋体"/>
          <w:color w:val="auto"/>
          <w:spacing w:val="20"/>
          <w:sz w:val="28"/>
          <w:szCs w:val="28"/>
        </w:rPr>
        <w:t>1</w:t>
      </w:r>
      <w:r>
        <w:rPr>
          <w:rFonts w:hint="eastAsia" w:ascii="宋体" w:hAnsi="宋体" w:eastAsia="宋体"/>
          <w:color w:val="auto"/>
          <w:spacing w:val="20"/>
          <w:sz w:val="28"/>
          <w:szCs w:val="28"/>
          <w:lang w:val="en-US" w:eastAsia="zh-CN"/>
        </w:rPr>
        <w:t>1</w:t>
      </w:r>
      <w:r>
        <w:rPr>
          <w:rFonts w:hint="eastAsia" w:ascii="宋体" w:hAnsi="宋体" w:eastAsia="宋体"/>
          <w:color w:val="auto"/>
          <w:spacing w:val="20"/>
          <w:sz w:val="28"/>
          <w:szCs w:val="28"/>
        </w:rPr>
        <w:t>.安全生产责任制度</w:t>
      </w:r>
    </w:p>
    <w:p>
      <w:pPr>
        <w:spacing w:line="360" w:lineRule="auto"/>
        <w:rPr>
          <w:rFonts w:hint="eastAsia" w:ascii="宋体" w:hAnsi="宋体" w:eastAsia="宋体"/>
          <w:color w:val="auto"/>
          <w:spacing w:val="20"/>
          <w:sz w:val="28"/>
          <w:szCs w:val="28"/>
        </w:rPr>
      </w:pPr>
      <w:r>
        <w:rPr>
          <w:rFonts w:hint="eastAsia" w:ascii="宋体" w:hAnsi="宋体" w:eastAsia="宋体"/>
          <w:color w:val="auto"/>
          <w:spacing w:val="20"/>
          <w:sz w:val="28"/>
          <w:szCs w:val="28"/>
        </w:rPr>
        <w:t>1</w:t>
      </w:r>
      <w:r>
        <w:rPr>
          <w:rFonts w:hint="eastAsia" w:ascii="宋体" w:hAnsi="宋体" w:eastAsia="宋体"/>
          <w:color w:val="auto"/>
          <w:spacing w:val="20"/>
          <w:sz w:val="28"/>
          <w:szCs w:val="28"/>
          <w:lang w:val="en-US" w:eastAsia="zh-CN"/>
        </w:rPr>
        <w:t>2</w:t>
      </w:r>
      <w:r>
        <w:rPr>
          <w:rFonts w:hint="eastAsia" w:ascii="宋体" w:hAnsi="宋体" w:eastAsia="宋体"/>
          <w:color w:val="auto"/>
          <w:spacing w:val="20"/>
          <w:sz w:val="28"/>
          <w:szCs w:val="28"/>
        </w:rPr>
        <w:t>.安全管理制度目录和安全操作规程目录</w:t>
      </w:r>
    </w:p>
    <w:p>
      <w:pPr>
        <w:spacing w:line="360" w:lineRule="auto"/>
        <w:rPr>
          <w:rFonts w:hint="eastAsia" w:ascii="宋体" w:hAnsi="宋体" w:eastAsia="宋体"/>
          <w:color w:val="auto"/>
          <w:spacing w:val="20"/>
          <w:sz w:val="28"/>
          <w:szCs w:val="28"/>
        </w:rPr>
      </w:pPr>
      <w:r>
        <w:rPr>
          <w:rFonts w:hint="eastAsia" w:ascii="宋体" w:hAnsi="宋体" w:eastAsia="宋体"/>
          <w:color w:val="auto"/>
          <w:spacing w:val="20"/>
          <w:sz w:val="28"/>
          <w:szCs w:val="28"/>
        </w:rPr>
        <w:t>1</w:t>
      </w:r>
      <w:r>
        <w:rPr>
          <w:rFonts w:hint="eastAsia" w:ascii="宋体" w:hAnsi="宋体" w:eastAsia="宋体"/>
          <w:color w:val="auto"/>
          <w:spacing w:val="20"/>
          <w:sz w:val="28"/>
          <w:szCs w:val="28"/>
          <w:lang w:val="en-US" w:eastAsia="zh-CN"/>
        </w:rPr>
        <w:t>3</w:t>
      </w:r>
      <w:r>
        <w:rPr>
          <w:rFonts w:hint="eastAsia" w:ascii="宋体" w:hAnsi="宋体" w:eastAsia="宋体"/>
          <w:color w:val="auto"/>
          <w:spacing w:val="20"/>
          <w:sz w:val="28"/>
          <w:szCs w:val="28"/>
        </w:rPr>
        <w:t>.特种人员作业证</w:t>
      </w:r>
    </w:p>
    <w:p>
      <w:pPr>
        <w:spacing w:line="360" w:lineRule="auto"/>
        <w:rPr>
          <w:rFonts w:hint="eastAsia" w:ascii="宋体" w:hAnsi="宋体" w:eastAsia="宋体"/>
          <w:color w:val="auto"/>
          <w:spacing w:val="20"/>
          <w:sz w:val="28"/>
          <w:szCs w:val="28"/>
        </w:rPr>
      </w:pPr>
      <w:r>
        <w:rPr>
          <w:rFonts w:hint="eastAsia" w:ascii="宋体" w:hAnsi="宋体" w:eastAsia="宋体"/>
          <w:color w:val="auto"/>
          <w:spacing w:val="20"/>
          <w:sz w:val="28"/>
          <w:szCs w:val="28"/>
        </w:rPr>
        <w:t>1</w:t>
      </w:r>
      <w:r>
        <w:rPr>
          <w:rFonts w:hint="eastAsia" w:ascii="宋体" w:hAnsi="宋体" w:eastAsia="宋体"/>
          <w:color w:val="auto"/>
          <w:spacing w:val="20"/>
          <w:sz w:val="28"/>
          <w:szCs w:val="28"/>
          <w:lang w:val="en-US" w:eastAsia="zh-CN"/>
        </w:rPr>
        <w:t>4</w:t>
      </w:r>
      <w:r>
        <w:rPr>
          <w:rFonts w:hint="eastAsia" w:ascii="宋体" w:hAnsi="宋体" w:eastAsia="宋体"/>
          <w:color w:val="auto"/>
          <w:spacing w:val="20"/>
          <w:sz w:val="28"/>
          <w:szCs w:val="28"/>
        </w:rPr>
        <w:t>.防雷检查合格证及检测报告</w:t>
      </w:r>
    </w:p>
    <w:p>
      <w:pPr>
        <w:spacing w:line="360" w:lineRule="auto"/>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rPr>
        <w:t>1</w:t>
      </w:r>
      <w:r>
        <w:rPr>
          <w:rFonts w:hint="eastAsia" w:ascii="宋体" w:hAnsi="宋体" w:eastAsia="宋体"/>
          <w:color w:val="auto"/>
          <w:spacing w:val="20"/>
          <w:sz w:val="28"/>
          <w:szCs w:val="28"/>
          <w:lang w:val="en-US" w:eastAsia="zh-CN"/>
        </w:rPr>
        <w:t>5</w:t>
      </w:r>
      <w:r>
        <w:rPr>
          <w:rFonts w:hint="eastAsia" w:ascii="宋体" w:hAnsi="宋体" w:eastAsia="宋体"/>
          <w:color w:val="auto"/>
          <w:spacing w:val="20"/>
          <w:sz w:val="28"/>
          <w:szCs w:val="28"/>
        </w:rPr>
        <w:t>.</w:t>
      </w:r>
      <w:r>
        <w:rPr>
          <w:rFonts w:hint="eastAsia" w:ascii="宋体" w:hAnsi="宋体" w:eastAsia="宋体"/>
          <w:color w:val="auto"/>
          <w:spacing w:val="20"/>
          <w:sz w:val="28"/>
          <w:szCs w:val="28"/>
          <w:lang w:eastAsia="zh-CN"/>
        </w:rPr>
        <w:t>可燃气体报警器检测证明</w:t>
      </w:r>
    </w:p>
    <w:p>
      <w:pPr>
        <w:pStyle w:val="2"/>
        <w:spacing w:line="360" w:lineRule="auto"/>
        <w:rPr>
          <w:rFonts w:hint="eastAsia" w:hAnsi="宋体"/>
          <w:color w:val="auto"/>
          <w:spacing w:val="20"/>
          <w:sz w:val="28"/>
          <w:szCs w:val="28"/>
          <w:lang w:val="en-US" w:eastAsia="zh-CN"/>
        </w:rPr>
      </w:pPr>
      <w:r>
        <w:rPr>
          <w:rFonts w:hint="eastAsia" w:hAnsi="宋体"/>
          <w:color w:val="auto"/>
          <w:spacing w:val="20"/>
          <w:sz w:val="28"/>
          <w:szCs w:val="28"/>
          <w:lang w:val="en-US" w:eastAsia="zh-CN"/>
        </w:rPr>
        <w:t>16.C-36清洗剂鉴别报告</w:t>
      </w:r>
    </w:p>
    <w:p>
      <w:pPr>
        <w:pStyle w:val="2"/>
        <w:spacing w:line="360" w:lineRule="auto"/>
        <w:rPr>
          <w:rFonts w:hint="default" w:hAnsi="宋体"/>
          <w:color w:val="auto"/>
          <w:spacing w:val="20"/>
          <w:sz w:val="28"/>
          <w:szCs w:val="28"/>
          <w:lang w:val="en-US" w:eastAsia="zh-CN"/>
        </w:rPr>
      </w:pPr>
      <w:r>
        <w:rPr>
          <w:rFonts w:hint="eastAsia" w:hAnsi="宋体"/>
          <w:color w:val="auto"/>
          <w:spacing w:val="20"/>
          <w:sz w:val="28"/>
          <w:szCs w:val="28"/>
          <w:lang w:val="en-US" w:eastAsia="zh-CN"/>
        </w:rPr>
        <w:t>17.非危险化学品安全技术说明书</w:t>
      </w:r>
    </w:p>
    <w:p>
      <w:pPr>
        <w:spacing w:line="360" w:lineRule="auto"/>
        <w:rPr>
          <w:rFonts w:hint="default" w:ascii="宋体" w:hAnsi="宋体" w:eastAsia="宋体"/>
          <w:color w:val="auto"/>
          <w:spacing w:val="20"/>
          <w:sz w:val="28"/>
          <w:szCs w:val="28"/>
          <w:lang w:val="en-US" w:eastAsia="zh-CN"/>
        </w:rPr>
      </w:pPr>
      <w:r>
        <w:rPr>
          <w:rFonts w:hint="eastAsia" w:ascii="宋体" w:hAnsi="宋体" w:eastAsia="宋体"/>
          <w:color w:val="auto"/>
          <w:spacing w:val="20"/>
          <w:sz w:val="28"/>
          <w:szCs w:val="28"/>
          <w:lang w:val="en-US" w:eastAsia="zh-CN"/>
        </w:rPr>
        <w:t>18.整改前后对照照片</w:t>
      </w:r>
    </w:p>
    <w:p>
      <w:pPr>
        <w:spacing w:line="360" w:lineRule="auto"/>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lang w:val="en-US" w:eastAsia="zh-CN"/>
        </w:rPr>
        <w:t>19</w:t>
      </w:r>
      <w:r>
        <w:rPr>
          <w:rFonts w:hint="eastAsia" w:ascii="宋体" w:hAnsi="宋体" w:eastAsia="宋体"/>
          <w:color w:val="auto"/>
          <w:spacing w:val="20"/>
          <w:sz w:val="28"/>
          <w:szCs w:val="28"/>
          <w:lang w:eastAsia="zh-CN"/>
        </w:rPr>
        <w:t>.现场照片</w:t>
      </w:r>
    </w:p>
    <w:p>
      <w:pPr>
        <w:pStyle w:val="2"/>
        <w:spacing w:line="360" w:lineRule="auto"/>
        <w:rPr>
          <w:rFonts w:hint="default"/>
          <w:color w:val="auto"/>
          <w:sz w:val="28"/>
          <w:szCs w:val="28"/>
          <w:lang w:val="en-US" w:eastAsia="zh-CN"/>
        </w:rPr>
      </w:pPr>
      <w:r>
        <w:rPr>
          <w:rFonts w:hint="eastAsia" w:hAnsi="宋体"/>
          <w:color w:val="auto"/>
          <w:spacing w:val="20"/>
          <w:sz w:val="28"/>
          <w:szCs w:val="28"/>
          <w:lang w:val="en-US" w:eastAsia="zh-CN"/>
        </w:rPr>
        <w:t>20.四至图</w:t>
      </w:r>
    </w:p>
    <w:p>
      <w:pPr>
        <w:spacing w:line="360" w:lineRule="auto"/>
        <w:rPr>
          <w:rFonts w:hint="default" w:ascii="宋体" w:hAnsi="宋体" w:eastAsia="宋体"/>
          <w:color w:val="auto"/>
          <w:spacing w:val="20"/>
          <w:sz w:val="28"/>
          <w:szCs w:val="28"/>
          <w:lang w:val="en-US" w:eastAsia="zh-CN"/>
        </w:rPr>
      </w:pPr>
      <w:r>
        <w:rPr>
          <w:rFonts w:hint="eastAsia" w:ascii="宋体" w:hAnsi="宋体" w:eastAsia="宋体"/>
          <w:color w:val="auto"/>
          <w:spacing w:val="20"/>
          <w:sz w:val="28"/>
          <w:szCs w:val="28"/>
          <w:lang w:val="en-US" w:eastAsia="zh-CN"/>
        </w:rPr>
        <w:t>21.总平面布置图</w:t>
      </w:r>
    </w:p>
    <w:sectPr>
      <w:headerReference r:id="rId6" w:type="default"/>
      <w:footerReference r:id="rId7" w:type="default"/>
      <w:pgSz w:w="11900" w:h="16840"/>
      <w:pgMar w:top="1418" w:right="1134" w:bottom="1134" w:left="1588" w:header="964" w:footer="454"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JhengHei Light">
    <w:altName w:val="Microsoft JhengHei"/>
    <w:panose1 w:val="020B0304030504040204"/>
    <w:charset w:val="88"/>
    <w:family w:val="swiss"/>
    <w:pitch w:val="default"/>
    <w:sig w:usb0="00000000" w:usb1="00000000" w:usb2="00000016" w:usb3="00000000" w:csb0="00100009" w:csb1="00000000"/>
  </w:font>
  <w:font w:name="Microsoft JhengHei">
    <w:panose1 w:val="020B0604030504040204"/>
    <w:charset w:val="88"/>
    <w:family w:val="auto"/>
    <w:pitch w:val="default"/>
    <w:sig w:usb0="00000087" w:usb1="28AF4000" w:usb2="00000016" w:usb3="00000000" w:csb0="00100009"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nstantia">
    <w:panose1 w:val="02030602050306030303"/>
    <w:charset w:val="00"/>
    <w:family w:val="roman"/>
    <w:pitch w:val="default"/>
    <w:sig w:usb0="A00002EF" w:usb1="4000204B"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Bookman Old Style">
    <w:panose1 w:val="020506040505050202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Garamond">
    <w:panose1 w:val="02020404030301010803"/>
    <w:charset w:val="00"/>
    <w:family w:val="roman"/>
    <w:pitch w:val="default"/>
    <w:sig w:usb0="00000287" w:usb1="00000000" w:usb2="00000000" w:usb3="00000000" w:csb0="0000009F" w:csb1="DFD70000"/>
  </w:font>
  <w:font w:name="Candara">
    <w:panose1 w:val="020E0502030303020204"/>
    <w:charset w:val="00"/>
    <w:family w:val="swiss"/>
    <w:pitch w:val="default"/>
    <w:sig w:usb0="A00002EF" w:usb1="4000A44B"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汉鼎简特宋">
    <w:altName w:val="宋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rFonts w:ascii="宋体" w:hAnsi="宋体" w:eastAsia="PMingLiU"/>
      </w:rPr>
    </w:pPr>
    <w:r>
      <w:rPr>
        <w:rFonts w:ascii="宋体" w:hAnsi="宋体" w:eastAsia="宋体"/>
      </w:rPr>
      <w:fldChar w:fldCharType="begin"/>
    </w:r>
    <w:r>
      <w:rPr>
        <w:rFonts w:ascii="宋体" w:hAnsi="宋体" w:eastAsia="宋体"/>
      </w:rPr>
      <w:instrText xml:space="preserve">PAGE   \* MERGEFORMAT</w:instrText>
    </w:r>
    <w:r>
      <w:rPr>
        <w:rFonts w:ascii="宋体" w:hAnsi="宋体" w:eastAsia="宋体"/>
      </w:rPr>
      <w:fldChar w:fldCharType="separate"/>
    </w:r>
    <w:r>
      <w:rPr>
        <w:rFonts w:ascii="宋体" w:hAnsi="宋体" w:eastAsia="宋体"/>
        <w:lang w:val="zh-CN" w:eastAsia="zh-CN"/>
      </w:rPr>
      <w:t>249</w:t>
    </w:r>
    <w:r>
      <w:rPr>
        <w:rFonts w:ascii="宋体" w:hAnsi="宋体" w:eastAsia="宋体"/>
      </w:rPr>
      <w:fldChar w:fldCharType="end"/>
    </w:r>
  </w:p>
  <w:p>
    <w:pPr>
      <w:pStyle w:val="30"/>
      <w:ind w:right="360"/>
      <w:rPr>
        <w:rFonts w:ascii="宋体" w:hAnsi="宋体" w:eastAsia="宋体"/>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w:rPr>
        <w:rFonts w:hint="eastAsia" w:ascii="宋体" w:hAnsi="宋体" w:eastAsia="宋体"/>
        <w:color w:val="auto"/>
        <w:lang w:eastAsia="zh-CN"/>
      </w:rPr>
      <w:t>东莞优诺电子焊接材料有限公司</w:t>
    </w:r>
    <w:r>
      <w:rPr>
        <w:rFonts w:ascii="宋体" w:hAnsi="宋体" w:eastAsia="宋体"/>
        <w:color w:val="auto"/>
      </w:rPr>
      <w:t>安全评价报告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rPr>
        <w:rFonts w:ascii="宋体" w:hAnsi="宋体" w:eastAsia="宋体"/>
      </w:rPr>
    </w:pPr>
    <w:r>
      <w:rPr>
        <w:rFonts w:hint="eastAsia" w:ascii="宋体" w:hAnsi="宋体" w:eastAsia="宋体"/>
        <w:color w:val="auto"/>
        <w:lang w:eastAsia="zh-CN"/>
      </w:rPr>
      <w:t>东莞优诺电子焊接材料有限公司</w:t>
    </w:r>
    <w:r>
      <w:rPr>
        <w:rFonts w:ascii="宋体" w:hAnsi="宋体" w:eastAsia="宋体"/>
        <w:color w:val="auto"/>
      </w:rPr>
      <w:t>安全评价报告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lvlText w:val="%1."/>
      <w:legacy w:legacy="1" w:legacySpace="144" w:legacyIndent="0"/>
      <w:lvlJc w:val="left"/>
      <w:pPr>
        <w:ind w:left="0" w:firstLine="0"/>
      </w:pPr>
    </w:lvl>
    <w:lvl w:ilvl="1" w:tentative="0">
      <w:start w:val="1"/>
      <w:numFmt w:val="decimal"/>
      <w:lvlText w:val="%1.%2"/>
      <w:legacy w:legacy="1" w:legacySpace="144" w:legacyIndent="0"/>
      <w:lvlJc w:val="left"/>
      <w:pPr>
        <w:ind w:left="0" w:firstLine="0"/>
      </w:pPr>
    </w:lvl>
    <w:lvl w:ilvl="2" w:tentative="0">
      <w:start w:val="1"/>
      <w:numFmt w:val="decimal"/>
      <w:lvlText w:val="%1.%2.%3"/>
      <w:legacy w:legacy="1" w:legacySpace="144" w:legacyIndent="0"/>
      <w:lvlJc w:val="left"/>
      <w:pPr>
        <w:ind w:left="0" w:firstLine="0"/>
      </w:pPr>
    </w:lvl>
    <w:lvl w:ilvl="3" w:tentative="0">
      <w:start w:val="1"/>
      <w:numFmt w:val="decimal"/>
      <w:lvlText w:val="%1.%2.%3.%4"/>
      <w:legacy w:legacy="1" w:legacySpace="144" w:legacyIndent="0"/>
      <w:lvlJc w:val="left"/>
      <w:pPr>
        <w:ind w:left="0" w:firstLine="0"/>
      </w:pPr>
    </w:lvl>
    <w:lvl w:ilvl="4" w:tentative="0">
      <w:start w:val="1"/>
      <w:numFmt w:val="decimal"/>
      <w:lvlText w:val="%1.%2.%3.%4.%5"/>
      <w:legacy w:legacy="1" w:legacySpace="144" w:legacyIndent="0"/>
      <w:lvlJc w:val="left"/>
      <w:pPr>
        <w:ind w:left="0" w:firstLine="0"/>
      </w:pPr>
    </w:lvl>
    <w:lvl w:ilvl="5" w:tentative="0">
      <w:start w:val="1"/>
      <w:numFmt w:val="decimal"/>
      <w:pStyle w:val="8"/>
      <w:lvlText w:val="%1.%2.%3.%4.%5.%6"/>
      <w:legacy w:legacy="1" w:legacySpace="144" w:legacyIndent="0"/>
      <w:lvlJc w:val="left"/>
      <w:pPr>
        <w:ind w:left="0" w:firstLine="0"/>
      </w:pPr>
    </w:lvl>
    <w:lvl w:ilvl="6" w:tentative="0">
      <w:start w:val="1"/>
      <w:numFmt w:val="decimal"/>
      <w:lvlText w:val="%1.%2.%3.%4.%5.%6.%7"/>
      <w:legacy w:legacy="1" w:legacySpace="144" w:legacyIndent="0"/>
      <w:lvlJc w:val="left"/>
      <w:pPr>
        <w:ind w:left="0" w:firstLine="0"/>
      </w:pPr>
    </w:lvl>
    <w:lvl w:ilvl="7" w:tentative="0">
      <w:start w:val="1"/>
      <w:numFmt w:val="decimal"/>
      <w:pStyle w:val="10"/>
      <w:lvlText w:val="%1.%2.%3.%4.%5.%6.%7.%8"/>
      <w:legacy w:legacy="1" w:legacySpace="144" w:legacyIndent="0"/>
      <w:lvlJc w:val="left"/>
      <w:pPr>
        <w:ind w:left="0" w:firstLine="0"/>
      </w:pPr>
    </w:lvl>
    <w:lvl w:ilvl="8" w:tentative="0">
      <w:start w:val="1"/>
      <w:numFmt w:val="decimal"/>
      <w:pStyle w:val="11"/>
      <w:lvlText w:val="%1.%2.%3.%4.%5.%6.%7.%8.%9"/>
      <w:legacy w:legacy="1" w:legacySpace="144" w:legacyIndent="0"/>
      <w:lvlJc w:val="left"/>
      <w:pPr>
        <w:ind w:left="0" w:firstLine="0"/>
      </w:pPr>
    </w:lvl>
  </w:abstractNum>
  <w:abstractNum w:abstractNumId="1">
    <w:nsid w:val="315E2367"/>
    <w:multiLevelType w:val="multilevel"/>
    <w:tmpl w:val="315E236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1080"/>
        </w:tabs>
        <w:ind w:left="360" w:firstLine="0"/>
      </w:pPr>
    </w:lvl>
    <w:lvl w:ilvl="3" w:tentative="0">
      <w:start w:val="1"/>
      <w:numFmt w:val="decimal"/>
      <w:pStyle w:val="6"/>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
    <w:nsid w:val="5D3F086B"/>
    <w:multiLevelType w:val="multilevel"/>
    <w:tmpl w:val="5D3F086B"/>
    <w:lvl w:ilvl="0" w:tentative="0">
      <w:start w:val="1"/>
      <w:numFmt w:val="decimal"/>
      <w:pStyle w:val="376"/>
      <w:lvlText w:val="(%1)"/>
      <w:lvlJc w:val="left"/>
      <w:pPr>
        <w:tabs>
          <w:tab w:val="left" w:pos="465"/>
        </w:tabs>
        <w:ind w:left="465" w:hanging="465"/>
      </w:pPr>
    </w:lvl>
    <w:lvl w:ilvl="1" w:tentative="0">
      <w:start w:val="1"/>
      <w:numFmt w:val="upperLetter"/>
      <w:lvlText w:val="%2."/>
      <w:lvlJc w:val="left"/>
      <w:pPr>
        <w:tabs>
          <w:tab w:val="left" w:pos="780"/>
        </w:tabs>
        <w:ind w:left="780" w:hanging="360"/>
      </w:pPr>
    </w:lvl>
    <w:lvl w:ilvl="2" w:tentative="0">
      <w:start w:val="1"/>
      <w:numFmt w:val="decimalEnclosedCircle"/>
      <w:lvlText w:val="%3"/>
      <w:lvlJc w:val="left"/>
      <w:pPr>
        <w:tabs>
          <w:tab w:val="left" w:pos="1200"/>
        </w:tabs>
        <w:ind w:left="1200" w:hanging="360"/>
      </w:pPr>
    </w:lvl>
    <w:lvl w:ilvl="3" w:tentative="0">
      <w:start w:val="1"/>
      <w:numFmt w:val="decimal"/>
      <w:lvlText w:val="（%4）"/>
      <w:lvlJc w:val="left"/>
      <w:pPr>
        <w:tabs>
          <w:tab w:val="left" w:pos="2115"/>
        </w:tabs>
        <w:ind w:left="2115" w:hanging="855"/>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HorizontalSpacing w:val="120"/>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061EE"/>
    <w:rsid w:val="00001813"/>
    <w:rsid w:val="00001FFE"/>
    <w:rsid w:val="00004F68"/>
    <w:rsid w:val="000053BD"/>
    <w:rsid w:val="00014350"/>
    <w:rsid w:val="000169EC"/>
    <w:rsid w:val="00021433"/>
    <w:rsid w:val="000260B1"/>
    <w:rsid w:val="00026A92"/>
    <w:rsid w:val="0003490E"/>
    <w:rsid w:val="00034BA1"/>
    <w:rsid w:val="00035519"/>
    <w:rsid w:val="000355D7"/>
    <w:rsid w:val="00035636"/>
    <w:rsid w:val="000408A5"/>
    <w:rsid w:val="00041795"/>
    <w:rsid w:val="00042F97"/>
    <w:rsid w:val="000434FA"/>
    <w:rsid w:val="00061A4A"/>
    <w:rsid w:val="0006344F"/>
    <w:rsid w:val="000639DB"/>
    <w:rsid w:val="00075CCA"/>
    <w:rsid w:val="00076CA1"/>
    <w:rsid w:val="00086E5E"/>
    <w:rsid w:val="00092EEF"/>
    <w:rsid w:val="00095624"/>
    <w:rsid w:val="00096A2A"/>
    <w:rsid w:val="000A2BA5"/>
    <w:rsid w:val="000C6A70"/>
    <w:rsid w:val="000D46A6"/>
    <w:rsid w:val="000D5D20"/>
    <w:rsid w:val="000E1220"/>
    <w:rsid w:val="000E20D8"/>
    <w:rsid w:val="000E4E2A"/>
    <w:rsid w:val="00101D58"/>
    <w:rsid w:val="00103BD9"/>
    <w:rsid w:val="00105778"/>
    <w:rsid w:val="00107588"/>
    <w:rsid w:val="001109C0"/>
    <w:rsid w:val="0011583A"/>
    <w:rsid w:val="00134233"/>
    <w:rsid w:val="00137678"/>
    <w:rsid w:val="0014086B"/>
    <w:rsid w:val="00142D15"/>
    <w:rsid w:val="00143965"/>
    <w:rsid w:val="00145CEF"/>
    <w:rsid w:val="0015093B"/>
    <w:rsid w:val="00157F52"/>
    <w:rsid w:val="001750BB"/>
    <w:rsid w:val="00175D09"/>
    <w:rsid w:val="0017627D"/>
    <w:rsid w:val="001802B3"/>
    <w:rsid w:val="00181E3A"/>
    <w:rsid w:val="0018365E"/>
    <w:rsid w:val="0018606C"/>
    <w:rsid w:val="00187963"/>
    <w:rsid w:val="001931FE"/>
    <w:rsid w:val="001936F1"/>
    <w:rsid w:val="001A1BF6"/>
    <w:rsid w:val="001A1E6A"/>
    <w:rsid w:val="001B40A1"/>
    <w:rsid w:val="001C08EA"/>
    <w:rsid w:val="001C25E0"/>
    <w:rsid w:val="001D2672"/>
    <w:rsid w:val="001D2B57"/>
    <w:rsid w:val="001D4817"/>
    <w:rsid w:val="001D5A54"/>
    <w:rsid w:val="001D626A"/>
    <w:rsid w:val="001E1C41"/>
    <w:rsid w:val="001E2FF5"/>
    <w:rsid w:val="001F2ADD"/>
    <w:rsid w:val="001F4A78"/>
    <w:rsid w:val="001F62D2"/>
    <w:rsid w:val="00203847"/>
    <w:rsid w:val="002062BD"/>
    <w:rsid w:val="00223C8F"/>
    <w:rsid w:val="002314F0"/>
    <w:rsid w:val="00236591"/>
    <w:rsid w:val="00236F9D"/>
    <w:rsid w:val="00254018"/>
    <w:rsid w:val="00254DCF"/>
    <w:rsid w:val="002554A8"/>
    <w:rsid w:val="00255869"/>
    <w:rsid w:val="00255E4B"/>
    <w:rsid w:val="0025743C"/>
    <w:rsid w:val="00267B86"/>
    <w:rsid w:val="0027040E"/>
    <w:rsid w:val="0027611F"/>
    <w:rsid w:val="0028254A"/>
    <w:rsid w:val="0028361C"/>
    <w:rsid w:val="00284F6B"/>
    <w:rsid w:val="002860E0"/>
    <w:rsid w:val="00294B73"/>
    <w:rsid w:val="00296A58"/>
    <w:rsid w:val="002A14A1"/>
    <w:rsid w:val="002B71A8"/>
    <w:rsid w:val="002C084B"/>
    <w:rsid w:val="002C2E1D"/>
    <w:rsid w:val="002C640C"/>
    <w:rsid w:val="002D56A8"/>
    <w:rsid w:val="002D6EF2"/>
    <w:rsid w:val="002E1D3A"/>
    <w:rsid w:val="002E4687"/>
    <w:rsid w:val="002E48A9"/>
    <w:rsid w:val="002E6F0A"/>
    <w:rsid w:val="002E7419"/>
    <w:rsid w:val="002F07D1"/>
    <w:rsid w:val="002F0F7B"/>
    <w:rsid w:val="002F1618"/>
    <w:rsid w:val="002F226D"/>
    <w:rsid w:val="002F4700"/>
    <w:rsid w:val="002F58FF"/>
    <w:rsid w:val="003048CF"/>
    <w:rsid w:val="00306ED5"/>
    <w:rsid w:val="003117CA"/>
    <w:rsid w:val="003129C3"/>
    <w:rsid w:val="003133EB"/>
    <w:rsid w:val="003140A5"/>
    <w:rsid w:val="003141FF"/>
    <w:rsid w:val="0031530A"/>
    <w:rsid w:val="00317910"/>
    <w:rsid w:val="00322193"/>
    <w:rsid w:val="0032363C"/>
    <w:rsid w:val="003276F1"/>
    <w:rsid w:val="0033086A"/>
    <w:rsid w:val="0033376D"/>
    <w:rsid w:val="00340E1E"/>
    <w:rsid w:val="00345B46"/>
    <w:rsid w:val="003664AB"/>
    <w:rsid w:val="003709D4"/>
    <w:rsid w:val="00372967"/>
    <w:rsid w:val="00376AB5"/>
    <w:rsid w:val="00377362"/>
    <w:rsid w:val="003812AD"/>
    <w:rsid w:val="00381420"/>
    <w:rsid w:val="00381B79"/>
    <w:rsid w:val="00382506"/>
    <w:rsid w:val="00382817"/>
    <w:rsid w:val="0039149F"/>
    <w:rsid w:val="00391978"/>
    <w:rsid w:val="00394F05"/>
    <w:rsid w:val="003967AE"/>
    <w:rsid w:val="003A434E"/>
    <w:rsid w:val="003A546F"/>
    <w:rsid w:val="003A6DFB"/>
    <w:rsid w:val="003B670A"/>
    <w:rsid w:val="003B68C5"/>
    <w:rsid w:val="003C05BF"/>
    <w:rsid w:val="003C0E68"/>
    <w:rsid w:val="003C28B8"/>
    <w:rsid w:val="003C5B8F"/>
    <w:rsid w:val="003D0323"/>
    <w:rsid w:val="003D1DAA"/>
    <w:rsid w:val="003D1E83"/>
    <w:rsid w:val="003D3615"/>
    <w:rsid w:val="003D36F1"/>
    <w:rsid w:val="003D7185"/>
    <w:rsid w:val="003E0BFA"/>
    <w:rsid w:val="003E7A3C"/>
    <w:rsid w:val="003E7CB9"/>
    <w:rsid w:val="003F7F76"/>
    <w:rsid w:val="0040327A"/>
    <w:rsid w:val="00410FE2"/>
    <w:rsid w:val="00413E6D"/>
    <w:rsid w:val="00422ACB"/>
    <w:rsid w:val="00425B30"/>
    <w:rsid w:val="00426FA4"/>
    <w:rsid w:val="0043507F"/>
    <w:rsid w:val="004442E7"/>
    <w:rsid w:val="00445644"/>
    <w:rsid w:val="00450C41"/>
    <w:rsid w:val="00452333"/>
    <w:rsid w:val="004538B3"/>
    <w:rsid w:val="004551E9"/>
    <w:rsid w:val="00457CB9"/>
    <w:rsid w:val="00457DC6"/>
    <w:rsid w:val="004625D0"/>
    <w:rsid w:val="00464E26"/>
    <w:rsid w:val="00466093"/>
    <w:rsid w:val="00471BA8"/>
    <w:rsid w:val="0047519A"/>
    <w:rsid w:val="00476961"/>
    <w:rsid w:val="0047759B"/>
    <w:rsid w:val="0048036D"/>
    <w:rsid w:val="00480CE0"/>
    <w:rsid w:val="004826EA"/>
    <w:rsid w:val="004902AB"/>
    <w:rsid w:val="00491F3C"/>
    <w:rsid w:val="00493880"/>
    <w:rsid w:val="00493C07"/>
    <w:rsid w:val="00495AA3"/>
    <w:rsid w:val="00496FFD"/>
    <w:rsid w:val="004A0749"/>
    <w:rsid w:val="004A0770"/>
    <w:rsid w:val="004A105F"/>
    <w:rsid w:val="004A387B"/>
    <w:rsid w:val="004B0906"/>
    <w:rsid w:val="004B2C1D"/>
    <w:rsid w:val="004B3691"/>
    <w:rsid w:val="004B4039"/>
    <w:rsid w:val="004B672B"/>
    <w:rsid w:val="004B73A2"/>
    <w:rsid w:val="004C17FF"/>
    <w:rsid w:val="004C2FEE"/>
    <w:rsid w:val="004D4533"/>
    <w:rsid w:val="004E6E18"/>
    <w:rsid w:val="004E700F"/>
    <w:rsid w:val="004F03A8"/>
    <w:rsid w:val="004F0550"/>
    <w:rsid w:val="004F22B8"/>
    <w:rsid w:val="004F5F8D"/>
    <w:rsid w:val="004F7F1D"/>
    <w:rsid w:val="00501114"/>
    <w:rsid w:val="00502081"/>
    <w:rsid w:val="00502CA3"/>
    <w:rsid w:val="0050412E"/>
    <w:rsid w:val="005047C4"/>
    <w:rsid w:val="00507076"/>
    <w:rsid w:val="0051116B"/>
    <w:rsid w:val="005155B5"/>
    <w:rsid w:val="0052136F"/>
    <w:rsid w:val="00524708"/>
    <w:rsid w:val="005340BC"/>
    <w:rsid w:val="00541A17"/>
    <w:rsid w:val="005568E6"/>
    <w:rsid w:val="0056004F"/>
    <w:rsid w:val="005619E4"/>
    <w:rsid w:val="00565C8C"/>
    <w:rsid w:val="005701F8"/>
    <w:rsid w:val="00570CD9"/>
    <w:rsid w:val="005728A0"/>
    <w:rsid w:val="005737BF"/>
    <w:rsid w:val="0057573E"/>
    <w:rsid w:val="00580A84"/>
    <w:rsid w:val="00583DA0"/>
    <w:rsid w:val="0058444F"/>
    <w:rsid w:val="005859CA"/>
    <w:rsid w:val="00586EC8"/>
    <w:rsid w:val="00590454"/>
    <w:rsid w:val="005913ED"/>
    <w:rsid w:val="00591B58"/>
    <w:rsid w:val="005A0AC1"/>
    <w:rsid w:val="005A1F7F"/>
    <w:rsid w:val="005A6312"/>
    <w:rsid w:val="005B4E12"/>
    <w:rsid w:val="005B7E11"/>
    <w:rsid w:val="005C53D0"/>
    <w:rsid w:val="005D3DF3"/>
    <w:rsid w:val="005E0A66"/>
    <w:rsid w:val="005E3DE7"/>
    <w:rsid w:val="005E4372"/>
    <w:rsid w:val="005E5DF9"/>
    <w:rsid w:val="005E796B"/>
    <w:rsid w:val="005F02D2"/>
    <w:rsid w:val="0060516A"/>
    <w:rsid w:val="006057D3"/>
    <w:rsid w:val="00605B1C"/>
    <w:rsid w:val="00624CD6"/>
    <w:rsid w:val="00625528"/>
    <w:rsid w:val="0062659B"/>
    <w:rsid w:val="006312B9"/>
    <w:rsid w:val="00632FF2"/>
    <w:rsid w:val="006335DB"/>
    <w:rsid w:val="00635169"/>
    <w:rsid w:val="0064156B"/>
    <w:rsid w:val="00651207"/>
    <w:rsid w:val="006601D8"/>
    <w:rsid w:val="006628D0"/>
    <w:rsid w:val="00666FFD"/>
    <w:rsid w:val="00670ED5"/>
    <w:rsid w:val="00673ED4"/>
    <w:rsid w:val="006740BE"/>
    <w:rsid w:val="00682772"/>
    <w:rsid w:val="00684730"/>
    <w:rsid w:val="006866E2"/>
    <w:rsid w:val="00693EE6"/>
    <w:rsid w:val="00694648"/>
    <w:rsid w:val="0069682E"/>
    <w:rsid w:val="006A03FB"/>
    <w:rsid w:val="006A1CAA"/>
    <w:rsid w:val="006A2B71"/>
    <w:rsid w:val="006C024F"/>
    <w:rsid w:val="006C0445"/>
    <w:rsid w:val="006C32C3"/>
    <w:rsid w:val="006C5190"/>
    <w:rsid w:val="006C6733"/>
    <w:rsid w:val="006D2ECE"/>
    <w:rsid w:val="006D3387"/>
    <w:rsid w:val="006D3EA5"/>
    <w:rsid w:val="006D6159"/>
    <w:rsid w:val="006E1F55"/>
    <w:rsid w:val="006F582F"/>
    <w:rsid w:val="006F634C"/>
    <w:rsid w:val="007001C9"/>
    <w:rsid w:val="00700DAF"/>
    <w:rsid w:val="00701130"/>
    <w:rsid w:val="00704D0E"/>
    <w:rsid w:val="007056C7"/>
    <w:rsid w:val="00712547"/>
    <w:rsid w:val="00712DEF"/>
    <w:rsid w:val="00713329"/>
    <w:rsid w:val="00716799"/>
    <w:rsid w:val="00716826"/>
    <w:rsid w:val="007170F1"/>
    <w:rsid w:val="007234B9"/>
    <w:rsid w:val="00725271"/>
    <w:rsid w:val="00732602"/>
    <w:rsid w:val="00733464"/>
    <w:rsid w:val="00734159"/>
    <w:rsid w:val="00735448"/>
    <w:rsid w:val="00751AE2"/>
    <w:rsid w:val="007549E2"/>
    <w:rsid w:val="00755AE5"/>
    <w:rsid w:val="0076040F"/>
    <w:rsid w:val="00763FA9"/>
    <w:rsid w:val="0076642A"/>
    <w:rsid w:val="0077554D"/>
    <w:rsid w:val="00775907"/>
    <w:rsid w:val="007873A1"/>
    <w:rsid w:val="00787444"/>
    <w:rsid w:val="0079261D"/>
    <w:rsid w:val="00795E26"/>
    <w:rsid w:val="007A24D0"/>
    <w:rsid w:val="007A3AEE"/>
    <w:rsid w:val="007A5F5A"/>
    <w:rsid w:val="007B1FFF"/>
    <w:rsid w:val="007B20DD"/>
    <w:rsid w:val="007B73E0"/>
    <w:rsid w:val="007C5D01"/>
    <w:rsid w:val="007C6199"/>
    <w:rsid w:val="007D2A74"/>
    <w:rsid w:val="007D669A"/>
    <w:rsid w:val="007D6C44"/>
    <w:rsid w:val="007E06A2"/>
    <w:rsid w:val="007F0573"/>
    <w:rsid w:val="007F06AA"/>
    <w:rsid w:val="007F39AC"/>
    <w:rsid w:val="007F45D0"/>
    <w:rsid w:val="00803B7A"/>
    <w:rsid w:val="00803BDF"/>
    <w:rsid w:val="008050C0"/>
    <w:rsid w:val="008075FC"/>
    <w:rsid w:val="00807997"/>
    <w:rsid w:val="00811BA3"/>
    <w:rsid w:val="00812C75"/>
    <w:rsid w:val="00813911"/>
    <w:rsid w:val="00813FB8"/>
    <w:rsid w:val="008155EC"/>
    <w:rsid w:val="00821DB1"/>
    <w:rsid w:val="008356DD"/>
    <w:rsid w:val="00840C3D"/>
    <w:rsid w:val="00844C00"/>
    <w:rsid w:val="00845BB9"/>
    <w:rsid w:val="0085225D"/>
    <w:rsid w:val="0085621E"/>
    <w:rsid w:val="00866218"/>
    <w:rsid w:val="008674D5"/>
    <w:rsid w:val="0086765D"/>
    <w:rsid w:val="00876EC0"/>
    <w:rsid w:val="008845FB"/>
    <w:rsid w:val="008A3271"/>
    <w:rsid w:val="008A7E8D"/>
    <w:rsid w:val="008C50B3"/>
    <w:rsid w:val="008C7114"/>
    <w:rsid w:val="008D0D62"/>
    <w:rsid w:val="008D10BE"/>
    <w:rsid w:val="008D56CE"/>
    <w:rsid w:val="008D5D00"/>
    <w:rsid w:val="008D608F"/>
    <w:rsid w:val="008D6800"/>
    <w:rsid w:val="008E00A0"/>
    <w:rsid w:val="008E06B7"/>
    <w:rsid w:val="008E1050"/>
    <w:rsid w:val="008F0891"/>
    <w:rsid w:val="008F60FD"/>
    <w:rsid w:val="00903C21"/>
    <w:rsid w:val="00911792"/>
    <w:rsid w:val="00912D48"/>
    <w:rsid w:val="00916BB5"/>
    <w:rsid w:val="009235E4"/>
    <w:rsid w:val="009258A1"/>
    <w:rsid w:val="00934F16"/>
    <w:rsid w:val="0094043C"/>
    <w:rsid w:val="00952F7A"/>
    <w:rsid w:val="009536BF"/>
    <w:rsid w:val="00953EAD"/>
    <w:rsid w:val="00955405"/>
    <w:rsid w:val="00963004"/>
    <w:rsid w:val="00967079"/>
    <w:rsid w:val="009724F0"/>
    <w:rsid w:val="009814BF"/>
    <w:rsid w:val="00993925"/>
    <w:rsid w:val="00996C81"/>
    <w:rsid w:val="0099791C"/>
    <w:rsid w:val="009A3924"/>
    <w:rsid w:val="009A54CD"/>
    <w:rsid w:val="009A5C91"/>
    <w:rsid w:val="009B21AC"/>
    <w:rsid w:val="009B35F6"/>
    <w:rsid w:val="009C011D"/>
    <w:rsid w:val="009C52BF"/>
    <w:rsid w:val="009C722D"/>
    <w:rsid w:val="009C77A4"/>
    <w:rsid w:val="009D3E97"/>
    <w:rsid w:val="009D421E"/>
    <w:rsid w:val="009D50D0"/>
    <w:rsid w:val="009D5946"/>
    <w:rsid w:val="009E4DA9"/>
    <w:rsid w:val="009E5F96"/>
    <w:rsid w:val="009F0AAB"/>
    <w:rsid w:val="009F57CE"/>
    <w:rsid w:val="00A04201"/>
    <w:rsid w:val="00A04750"/>
    <w:rsid w:val="00A051E8"/>
    <w:rsid w:val="00A07823"/>
    <w:rsid w:val="00A123CC"/>
    <w:rsid w:val="00A1503C"/>
    <w:rsid w:val="00A23F62"/>
    <w:rsid w:val="00A32254"/>
    <w:rsid w:val="00A33774"/>
    <w:rsid w:val="00A43A12"/>
    <w:rsid w:val="00A443EF"/>
    <w:rsid w:val="00A505B2"/>
    <w:rsid w:val="00A51B65"/>
    <w:rsid w:val="00A53CCE"/>
    <w:rsid w:val="00A60577"/>
    <w:rsid w:val="00A61F2F"/>
    <w:rsid w:val="00A65ACA"/>
    <w:rsid w:val="00A7132C"/>
    <w:rsid w:val="00A7169B"/>
    <w:rsid w:val="00A717F2"/>
    <w:rsid w:val="00A731BC"/>
    <w:rsid w:val="00A74746"/>
    <w:rsid w:val="00A761D0"/>
    <w:rsid w:val="00A8653A"/>
    <w:rsid w:val="00A87406"/>
    <w:rsid w:val="00A94711"/>
    <w:rsid w:val="00A967FB"/>
    <w:rsid w:val="00A96D44"/>
    <w:rsid w:val="00AA1143"/>
    <w:rsid w:val="00AA3F87"/>
    <w:rsid w:val="00AA6129"/>
    <w:rsid w:val="00AB68C1"/>
    <w:rsid w:val="00AC0A81"/>
    <w:rsid w:val="00AC0C9C"/>
    <w:rsid w:val="00AC52B9"/>
    <w:rsid w:val="00AC5E2D"/>
    <w:rsid w:val="00AC5EDA"/>
    <w:rsid w:val="00AD28F8"/>
    <w:rsid w:val="00AE0595"/>
    <w:rsid w:val="00AE3D6E"/>
    <w:rsid w:val="00AF0F59"/>
    <w:rsid w:val="00AF7961"/>
    <w:rsid w:val="00B05BDB"/>
    <w:rsid w:val="00B07A05"/>
    <w:rsid w:val="00B11FD8"/>
    <w:rsid w:val="00B1448F"/>
    <w:rsid w:val="00B175AB"/>
    <w:rsid w:val="00B2305A"/>
    <w:rsid w:val="00B25A22"/>
    <w:rsid w:val="00B26AC8"/>
    <w:rsid w:val="00B2722B"/>
    <w:rsid w:val="00B45281"/>
    <w:rsid w:val="00B47CB7"/>
    <w:rsid w:val="00B52090"/>
    <w:rsid w:val="00B57E22"/>
    <w:rsid w:val="00B604A3"/>
    <w:rsid w:val="00B72DEF"/>
    <w:rsid w:val="00B76099"/>
    <w:rsid w:val="00B84F69"/>
    <w:rsid w:val="00B9083E"/>
    <w:rsid w:val="00B94B70"/>
    <w:rsid w:val="00B96C4B"/>
    <w:rsid w:val="00BB2222"/>
    <w:rsid w:val="00BB550D"/>
    <w:rsid w:val="00BB7E79"/>
    <w:rsid w:val="00BC759D"/>
    <w:rsid w:val="00BD0549"/>
    <w:rsid w:val="00BD5728"/>
    <w:rsid w:val="00BD5E5B"/>
    <w:rsid w:val="00BE0DEE"/>
    <w:rsid w:val="00BF307A"/>
    <w:rsid w:val="00BF7511"/>
    <w:rsid w:val="00C01D86"/>
    <w:rsid w:val="00C061EE"/>
    <w:rsid w:val="00C141E3"/>
    <w:rsid w:val="00C17192"/>
    <w:rsid w:val="00C24845"/>
    <w:rsid w:val="00C279F5"/>
    <w:rsid w:val="00C34A5E"/>
    <w:rsid w:val="00C36298"/>
    <w:rsid w:val="00C37FD7"/>
    <w:rsid w:val="00C407D1"/>
    <w:rsid w:val="00C43600"/>
    <w:rsid w:val="00C448FE"/>
    <w:rsid w:val="00C46B39"/>
    <w:rsid w:val="00C4745C"/>
    <w:rsid w:val="00C50C0C"/>
    <w:rsid w:val="00C5553A"/>
    <w:rsid w:val="00C652BA"/>
    <w:rsid w:val="00C66CBE"/>
    <w:rsid w:val="00C7076C"/>
    <w:rsid w:val="00C710FC"/>
    <w:rsid w:val="00C71CA4"/>
    <w:rsid w:val="00C76680"/>
    <w:rsid w:val="00C81A96"/>
    <w:rsid w:val="00C94C63"/>
    <w:rsid w:val="00CA2B93"/>
    <w:rsid w:val="00CA2DD6"/>
    <w:rsid w:val="00CA493E"/>
    <w:rsid w:val="00CA4C2C"/>
    <w:rsid w:val="00CA4E4A"/>
    <w:rsid w:val="00CA7372"/>
    <w:rsid w:val="00CC0B1F"/>
    <w:rsid w:val="00CC24B8"/>
    <w:rsid w:val="00CC3B37"/>
    <w:rsid w:val="00CC6F7A"/>
    <w:rsid w:val="00CD0982"/>
    <w:rsid w:val="00CD1B4D"/>
    <w:rsid w:val="00CD7BE5"/>
    <w:rsid w:val="00CE1540"/>
    <w:rsid w:val="00CE7865"/>
    <w:rsid w:val="00CE79FB"/>
    <w:rsid w:val="00CF3D1B"/>
    <w:rsid w:val="00CF4FFE"/>
    <w:rsid w:val="00D127D6"/>
    <w:rsid w:val="00D13000"/>
    <w:rsid w:val="00D14BEA"/>
    <w:rsid w:val="00D159CA"/>
    <w:rsid w:val="00D16DE7"/>
    <w:rsid w:val="00D30F71"/>
    <w:rsid w:val="00D31F65"/>
    <w:rsid w:val="00D33234"/>
    <w:rsid w:val="00D3652C"/>
    <w:rsid w:val="00D46FBD"/>
    <w:rsid w:val="00D538F7"/>
    <w:rsid w:val="00D60951"/>
    <w:rsid w:val="00D618C5"/>
    <w:rsid w:val="00D6199E"/>
    <w:rsid w:val="00D61B68"/>
    <w:rsid w:val="00D659EF"/>
    <w:rsid w:val="00D704BB"/>
    <w:rsid w:val="00D72F54"/>
    <w:rsid w:val="00D74448"/>
    <w:rsid w:val="00D861D7"/>
    <w:rsid w:val="00D8639F"/>
    <w:rsid w:val="00D91A9C"/>
    <w:rsid w:val="00D938CD"/>
    <w:rsid w:val="00D96B9E"/>
    <w:rsid w:val="00D97487"/>
    <w:rsid w:val="00DA12E6"/>
    <w:rsid w:val="00DA1A27"/>
    <w:rsid w:val="00DA23A1"/>
    <w:rsid w:val="00DA4022"/>
    <w:rsid w:val="00DB04C0"/>
    <w:rsid w:val="00DB715A"/>
    <w:rsid w:val="00DC3329"/>
    <w:rsid w:val="00DC3C2E"/>
    <w:rsid w:val="00DC4049"/>
    <w:rsid w:val="00DC42D3"/>
    <w:rsid w:val="00DC5042"/>
    <w:rsid w:val="00DC5F98"/>
    <w:rsid w:val="00DD0F96"/>
    <w:rsid w:val="00DD530E"/>
    <w:rsid w:val="00DE702A"/>
    <w:rsid w:val="00DF0922"/>
    <w:rsid w:val="00DF33A6"/>
    <w:rsid w:val="00E01E9C"/>
    <w:rsid w:val="00E039A2"/>
    <w:rsid w:val="00E04425"/>
    <w:rsid w:val="00E06735"/>
    <w:rsid w:val="00E06EE5"/>
    <w:rsid w:val="00E14B31"/>
    <w:rsid w:val="00E155C3"/>
    <w:rsid w:val="00E15AFD"/>
    <w:rsid w:val="00E22D56"/>
    <w:rsid w:val="00E26549"/>
    <w:rsid w:val="00E345D3"/>
    <w:rsid w:val="00E4319A"/>
    <w:rsid w:val="00E43C19"/>
    <w:rsid w:val="00E51407"/>
    <w:rsid w:val="00E525D0"/>
    <w:rsid w:val="00E53ECC"/>
    <w:rsid w:val="00E5488F"/>
    <w:rsid w:val="00E556D6"/>
    <w:rsid w:val="00E604A6"/>
    <w:rsid w:val="00E6074C"/>
    <w:rsid w:val="00E6257B"/>
    <w:rsid w:val="00E63ADB"/>
    <w:rsid w:val="00E6571B"/>
    <w:rsid w:val="00E72111"/>
    <w:rsid w:val="00E72135"/>
    <w:rsid w:val="00E74B9E"/>
    <w:rsid w:val="00E80C72"/>
    <w:rsid w:val="00E93243"/>
    <w:rsid w:val="00EA63AE"/>
    <w:rsid w:val="00EB0E1A"/>
    <w:rsid w:val="00EC2386"/>
    <w:rsid w:val="00ED7F95"/>
    <w:rsid w:val="00EE2ADB"/>
    <w:rsid w:val="00EE354C"/>
    <w:rsid w:val="00EE54AE"/>
    <w:rsid w:val="00EF32B8"/>
    <w:rsid w:val="00F00A76"/>
    <w:rsid w:val="00F010F8"/>
    <w:rsid w:val="00F02756"/>
    <w:rsid w:val="00F07341"/>
    <w:rsid w:val="00F076BB"/>
    <w:rsid w:val="00F1017C"/>
    <w:rsid w:val="00F11E6D"/>
    <w:rsid w:val="00F20855"/>
    <w:rsid w:val="00F20F95"/>
    <w:rsid w:val="00F267AC"/>
    <w:rsid w:val="00F30F83"/>
    <w:rsid w:val="00F314AC"/>
    <w:rsid w:val="00F31DBA"/>
    <w:rsid w:val="00F42C66"/>
    <w:rsid w:val="00F432C3"/>
    <w:rsid w:val="00F44865"/>
    <w:rsid w:val="00F47907"/>
    <w:rsid w:val="00F47CE8"/>
    <w:rsid w:val="00F51A19"/>
    <w:rsid w:val="00F57EFB"/>
    <w:rsid w:val="00F66CA2"/>
    <w:rsid w:val="00F66F37"/>
    <w:rsid w:val="00F73182"/>
    <w:rsid w:val="00F741CE"/>
    <w:rsid w:val="00F75632"/>
    <w:rsid w:val="00F76DCC"/>
    <w:rsid w:val="00F8130C"/>
    <w:rsid w:val="00F81D8E"/>
    <w:rsid w:val="00F90073"/>
    <w:rsid w:val="00F91E86"/>
    <w:rsid w:val="00F96BEE"/>
    <w:rsid w:val="00F973A9"/>
    <w:rsid w:val="00FB5670"/>
    <w:rsid w:val="00FB7553"/>
    <w:rsid w:val="00FC7645"/>
    <w:rsid w:val="00FD19ED"/>
    <w:rsid w:val="00FD41B0"/>
    <w:rsid w:val="00FD6BF5"/>
    <w:rsid w:val="00FE4269"/>
    <w:rsid w:val="00FE4C88"/>
    <w:rsid w:val="00FF31B5"/>
    <w:rsid w:val="00FF51DA"/>
    <w:rsid w:val="04D6531A"/>
    <w:rsid w:val="077B2B3C"/>
    <w:rsid w:val="12FE77F4"/>
    <w:rsid w:val="18434855"/>
    <w:rsid w:val="196F6284"/>
    <w:rsid w:val="23034E55"/>
    <w:rsid w:val="23E7581E"/>
    <w:rsid w:val="25E61121"/>
    <w:rsid w:val="26492CA7"/>
    <w:rsid w:val="28437A7A"/>
    <w:rsid w:val="2EA05406"/>
    <w:rsid w:val="30760A4D"/>
    <w:rsid w:val="32E74EA0"/>
    <w:rsid w:val="378246EC"/>
    <w:rsid w:val="41D73C55"/>
    <w:rsid w:val="45183E3A"/>
    <w:rsid w:val="460337DA"/>
    <w:rsid w:val="47E84465"/>
    <w:rsid w:val="4A9F166B"/>
    <w:rsid w:val="4AA22CB7"/>
    <w:rsid w:val="50984DF9"/>
    <w:rsid w:val="545F7F3B"/>
    <w:rsid w:val="5ABF775F"/>
    <w:rsid w:val="5ADD431C"/>
    <w:rsid w:val="5B973916"/>
    <w:rsid w:val="5F6C7EC1"/>
    <w:rsid w:val="65080CC8"/>
    <w:rsid w:val="65B91853"/>
    <w:rsid w:val="6BC63F2A"/>
    <w:rsid w:val="6D4E4842"/>
    <w:rsid w:val="6EFD4004"/>
    <w:rsid w:val="6F4F7633"/>
    <w:rsid w:val="71054C97"/>
    <w:rsid w:val="71B969E0"/>
    <w:rsid w:val="758F58BF"/>
    <w:rsid w:val="7D5462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0"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Microsoft JhengHei Light" w:hAnsi="Microsoft JhengHei Light" w:eastAsia="Microsoft JhengHei Light" w:cs="Microsoft JhengHei Light"/>
      <w:color w:val="000000"/>
      <w:sz w:val="24"/>
      <w:szCs w:val="24"/>
      <w:lang w:val="zh-TW" w:eastAsia="zh-TW" w:bidi="zh-TW"/>
    </w:rPr>
  </w:style>
  <w:style w:type="paragraph" w:styleId="3">
    <w:name w:val="heading 1"/>
    <w:basedOn w:val="1"/>
    <w:next w:val="1"/>
    <w:link w:val="55"/>
    <w:qFormat/>
    <w:uiPriority w:val="0"/>
    <w:pPr>
      <w:keepNext/>
      <w:keepLines/>
      <w:adjustRightInd w:val="0"/>
      <w:spacing w:afterLines="50" w:line="560" w:lineRule="exact"/>
      <w:jc w:val="center"/>
      <w:outlineLvl w:val="0"/>
    </w:pPr>
    <w:rPr>
      <w:rFonts w:ascii="黑体" w:hAnsi="Times New Roman" w:eastAsia="黑体" w:cs="Times New Roman"/>
      <w:snapToGrid w:val="0"/>
      <w:color w:val="auto"/>
      <w:sz w:val="32"/>
      <w:szCs w:val="32"/>
      <w:lang w:val="en-US" w:eastAsia="zh-CN" w:bidi="ar-SA"/>
    </w:rPr>
  </w:style>
  <w:style w:type="paragraph" w:styleId="4">
    <w:name w:val="heading 2"/>
    <w:basedOn w:val="1"/>
    <w:next w:val="1"/>
    <w:link w:val="56"/>
    <w:qFormat/>
    <w:uiPriority w:val="0"/>
    <w:pPr>
      <w:keepNext/>
      <w:keepLines/>
      <w:spacing w:before="260" w:after="260" w:line="415" w:lineRule="auto"/>
      <w:jc w:val="both"/>
      <w:outlineLvl w:val="1"/>
    </w:pPr>
    <w:rPr>
      <w:rFonts w:ascii="Arial" w:hAnsi="Arial" w:eastAsia="黑体" w:cs="Times New Roman"/>
      <w:b/>
      <w:bCs/>
      <w:color w:val="auto"/>
      <w:kern w:val="2"/>
      <w:sz w:val="32"/>
      <w:szCs w:val="32"/>
      <w:lang w:bidi="ar-SA"/>
    </w:rPr>
  </w:style>
  <w:style w:type="paragraph" w:styleId="5">
    <w:name w:val="heading 3"/>
    <w:basedOn w:val="1"/>
    <w:next w:val="1"/>
    <w:link w:val="57"/>
    <w:qFormat/>
    <w:uiPriority w:val="0"/>
    <w:pPr>
      <w:keepNext/>
      <w:keepLines/>
      <w:spacing w:before="260" w:after="260" w:line="416" w:lineRule="auto"/>
      <w:jc w:val="both"/>
      <w:outlineLvl w:val="2"/>
    </w:pPr>
    <w:rPr>
      <w:rFonts w:ascii="Times New Roman" w:hAnsi="Times New Roman" w:eastAsia="宋体" w:cs="Times New Roman"/>
      <w:b/>
      <w:bCs/>
      <w:color w:val="auto"/>
      <w:kern w:val="2"/>
      <w:sz w:val="32"/>
      <w:szCs w:val="32"/>
      <w:lang w:val="en-US" w:eastAsia="zh-CN" w:bidi="ar-SA"/>
    </w:rPr>
  </w:style>
  <w:style w:type="paragraph" w:styleId="6">
    <w:name w:val="heading 4"/>
    <w:basedOn w:val="1"/>
    <w:next w:val="1"/>
    <w:link w:val="58"/>
    <w:qFormat/>
    <w:uiPriority w:val="0"/>
    <w:pPr>
      <w:keepNext/>
      <w:keepLines/>
      <w:numPr>
        <w:ilvl w:val="3"/>
        <w:numId w:val="1"/>
      </w:numPr>
      <w:spacing w:before="120" w:after="120" w:line="720" w:lineRule="exact"/>
      <w:jc w:val="both"/>
      <w:outlineLvl w:val="3"/>
    </w:pPr>
    <w:rPr>
      <w:rFonts w:ascii="Arial" w:hAnsi="Arial" w:eastAsia="黑体" w:cs="Times New Roman"/>
      <w:color w:val="auto"/>
      <w:kern w:val="2"/>
      <w:sz w:val="28"/>
      <w:szCs w:val="20"/>
      <w:lang w:val="en-US" w:eastAsia="zh-CN" w:bidi="ar-SA"/>
    </w:rPr>
  </w:style>
  <w:style w:type="paragraph" w:styleId="7">
    <w:name w:val="heading 5"/>
    <w:basedOn w:val="1"/>
    <w:next w:val="1"/>
    <w:link w:val="59"/>
    <w:qFormat/>
    <w:uiPriority w:val="0"/>
    <w:pPr>
      <w:keepNext/>
      <w:keepLines/>
      <w:numPr>
        <w:ilvl w:val="4"/>
        <w:numId w:val="1"/>
      </w:numPr>
      <w:spacing w:before="280" w:after="290" w:line="374" w:lineRule="auto"/>
      <w:jc w:val="both"/>
      <w:outlineLvl w:val="4"/>
    </w:pPr>
    <w:rPr>
      <w:rFonts w:ascii="Times New Roman" w:hAnsi="Times New Roman" w:cs="Times New Roman" w:eastAsiaTheme="minorEastAsia"/>
      <w:b/>
      <w:color w:val="auto"/>
      <w:kern w:val="2"/>
      <w:sz w:val="28"/>
      <w:szCs w:val="20"/>
      <w:lang w:val="en-US" w:eastAsia="zh-CN" w:bidi="ar-SA"/>
    </w:rPr>
  </w:style>
  <w:style w:type="paragraph" w:styleId="8">
    <w:name w:val="heading 6"/>
    <w:basedOn w:val="1"/>
    <w:next w:val="1"/>
    <w:link w:val="60"/>
    <w:qFormat/>
    <w:uiPriority w:val="0"/>
    <w:pPr>
      <w:keepNext/>
      <w:keepLines/>
      <w:numPr>
        <w:ilvl w:val="5"/>
        <w:numId w:val="2"/>
      </w:numPr>
      <w:adjustRightInd w:val="0"/>
      <w:spacing w:before="240" w:after="64" w:line="320" w:lineRule="atLeast"/>
      <w:jc w:val="both"/>
      <w:outlineLvl w:val="5"/>
    </w:pPr>
    <w:rPr>
      <w:rFonts w:ascii="Arial" w:hAnsi="Arial" w:eastAsia="黑体" w:cs="Times New Roman"/>
      <w:b/>
      <w:color w:val="auto"/>
      <w:szCs w:val="20"/>
      <w:lang w:val="en-US" w:eastAsia="zh-CN" w:bidi="ar-SA"/>
    </w:rPr>
  </w:style>
  <w:style w:type="paragraph" w:styleId="9">
    <w:name w:val="heading 7"/>
    <w:basedOn w:val="1"/>
    <w:next w:val="1"/>
    <w:link w:val="61"/>
    <w:qFormat/>
    <w:uiPriority w:val="0"/>
    <w:pPr>
      <w:keepNext/>
      <w:keepLines/>
      <w:numPr>
        <w:ilvl w:val="6"/>
        <w:numId w:val="1"/>
      </w:numPr>
      <w:spacing w:before="240" w:after="64" w:line="319" w:lineRule="auto"/>
      <w:jc w:val="both"/>
      <w:outlineLvl w:val="6"/>
    </w:pPr>
    <w:rPr>
      <w:rFonts w:ascii="Times New Roman" w:hAnsi="Times New Roman" w:eastAsia="宋体" w:cs="Times New Roman"/>
      <w:b/>
      <w:color w:val="auto"/>
      <w:kern w:val="2"/>
      <w:szCs w:val="20"/>
      <w:lang w:val="en-US" w:eastAsia="zh-CN" w:bidi="ar-SA"/>
    </w:rPr>
  </w:style>
  <w:style w:type="paragraph" w:styleId="10">
    <w:name w:val="heading 8"/>
    <w:basedOn w:val="1"/>
    <w:next w:val="1"/>
    <w:link w:val="62"/>
    <w:qFormat/>
    <w:uiPriority w:val="0"/>
    <w:pPr>
      <w:keepNext/>
      <w:keepLines/>
      <w:numPr>
        <w:ilvl w:val="7"/>
        <w:numId w:val="2"/>
      </w:numPr>
      <w:adjustRightInd w:val="0"/>
      <w:spacing w:before="240" w:after="64" w:line="320" w:lineRule="atLeast"/>
      <w:jc w:val="both"/>
      <w:outlineLvl w:val="7"/>
    </w:pPr>
    <w:rPr>
      <w:rFonts w:ascii="Arial" w:hAnsi="Arial" w:eastAsia="黑体" w:cs="Times New Roman"/>
      <w:color w:val="auto"/>
      <w:szCs w:val="20"/>
      <w:lang w:val="en-US" w:eastAsia="zh-CN" w:bidi="ar-SA"/>
    </w:rPr>
  </w:style>
  <w:style w:type="paragraph" w:styleId="11">
    <w:name w:val="heading 9"/>
    <w:basedOn w:val="1"/>
    <w:next w:val="1"/>
    <w:link w:val="63"/>
    <w:qFormat/>
    <w:uiPriority w:val="0"/>
    <w:pPr>
      <w:keepNext/>
      <w:keepLines/>
      <w:numPr>
        <w:ilvl w:val="8"/>
        <w:numId w:val="2"/>
      </w:numPr>
      <w:adjustRightInd w:val="0"/>
      <w:spacing w:before="240" w:after="64" w:line="320" w:lineRule="atLeast"/>
      <w:jc w:val="both"/>
      <w:outlineLvl w:val="8"/>
    </w:pPr>
    <w:rPr>
      <w:rFonts w:ascii="Arial" w:hAnsi="Arial" w:eastAsia="黑体" w:cs="Times New Roman"/>
      <w:color w:val="auto"/>
      <w:sz w:val="21"/>
      <w:szCs w:val="20"/>
      <w:lang w:val="en-US" w:eastAsia="zh-CN" w:bidi="ar-SA"/>
    </w:rPr>
  </w:style>
  <w:style w:type="character" w:default="1" w:styleId="48">
    <w:name w:val="Default Paragraph Font"/>
    <w:semiHidden/>
    <w:unhideWhenUsed/>
    <w:qFormat/>
    <w:uiPriority w:val="1"/>
  </w:style>
  <w:style w:type="table" w:default="1" w:styleId="4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2">
    <w:name w:val="toc 7"/>
    <w:basedOn w:val="1"/>
    <w:next w:val="1"/>
    <w:unhideWhenUsed/>
    <w:qFormat/>
    <w:uiPriority w:val="0"/>
    <w:pPr>
      <w:ind w:left="1440"/>
    </w:pPr>
    <w:rPr>
      <w:rFonts w:asciiTheme="minorHAnsi" w:eastAsiaTheme="minorHAnsi"/>
      <w:sz w:val="18"/>
      <w:szCs w:val="18"/>
    </w:rPr>
  </w:style>
  <w:style w:type="paragraph" w:styleId="13">
    <w:name w:val="Note Heading"/>
    <w:basedOn w:val="1"/>
    <w:next w:val="1"/>
    <w:link w:val="270"/>
    <w:qFormat/>
    <w:uiPriority w:val="0"/>
    <w:pPr>
      <w:jc w:val="center"/>
    </w:pPr>
    <w:rPr>
      <w:rFonts w:ascii="宋体" w:hAnsi="Times New Roman" w:eastAsia="宋体" w:cs="Times New Roman"/>
      <w:color w:val="auto"/>
      <w:kern w:val="2"/>
      <w:sz w:val="21"/>
      <w:szCs w:val="20"/>
      <w:lang w:val="en-US" w:eastAsia="zh-CN" w:bidi="ar-SA"/>
    </w:rPr>
  </w:style>
  <w:style w:type="paragraph" w:styleId="14">
    <w:name w:val="Normal Indent"/>
    <w:basedOn w:val="1"/>
    <w:link w:val="248"/>
    <w:qFormat/>
    <w:uiPriority w:val="0"/>
    <w:pPr>
      <w:ind w:firstLine="420" w:firstLineChars="200"/>
      <w:jc w:val="both"/>
    </w:pPr>
    <w:rPr>
      <w:rFonts w:hint="eastAsia" w:ascii="宋体" w:hAnsi="宋体" w:eastAsia="宋体"/>
      <w:color w:val="auto"/>
      <w:kern w:val="2"/>
      <w:sz w:val="21"/>
      <w:lang w:val="en-US" w:eastAsia="zh-CN" w:bidi="ar-SA"/>
    </w:rPr>
  </w:style>
  <w:style w:type="paragraph" w:styleId="15">
    <w:name w:val="List Bullet"/>
    <w:basedOn w:val="1"/>
    <w:qFormat/>
    <w:uiPriority w:val="0"/>
    <w:pPr>
      <w:jc w:val="center"/>
    </w:pPr>
    <w:rPr>
      <w:rFonts w:ascii="Times New Roman" w:hAnsi="Times New Roman" w:eastAsia="宋体" w:cs="Times New Roman"/>
      <w:color w:val="auto"/>
      <w:sz w:val="21"/>
      <w:lang w:val="en-US" w:eastAsia="zh-CN" w:bidi="ar-SA"/>
    </w:rPr>
  </w:style>
  <w:style w:type="paragraph" w:styleId="16">
    <w:name w:val="Document Map"/>
    <w:basedOn w:val="1"/>
    <w:link w:val="275"/>
    <w:semiHidden/>
    <w:qFormat/>
    <w:uiPriority w:val="0"/>
    <w:pPr>
      <w:shd w:val="clear" w:color="auto" w:fill="000080"/>
      <w:jc w:val="both"/>
    </w:pPr>
    <w:rPr>
      <w:rFonts w:ascii="Times New Roman" w:hAnsi="Times New Roman" w:eastAsia="宋体" w:cs="Times New Roman"/>
      <w:color w:val="auto"/>
      <w:kern w:val="2"/>
      <w:sz w:val="21"/>
      <w:lang w:val="en-US" w:eastAsia="zh-CN" w:bidi="ar-SA"/>
    </w:rPr>
  </w:style>
  <w:style w:type="paragraph" w:styleId="17">
    <w:name w:val="annotation text"/>
    <w:basedOn w:val="1"/>
    <w:link w:val="260"/>
    <w:qFormat/>
    <w:uiPriority w:val="99"/>
    <w:rPr>
      <w:rFonts w:ascii="Times New Roman" w:hAnsi="Times New Roman" w:eastAsia="宋体" w:cs="Times New Roman"/>
      <w:color w:val="auto"/>
      <w:kern w:val="2"/>
      <w:sz w:val="21"/>
      <w:lang w:bidi="ar-SA"/>
    </w:rPr>
  </w:style>
  <w:style w:type="paragraph" w:styleId="18">
    <w:name w:val="Body Text 3"/>
    <w:basedOn w:val="1"/>
    <w:link w:val="272"/>
    <w:qFormat/>
    <w:uiPriority w:val="0"/>
    <w:pPr>
      <w:jc w:val="both"/>
    </w:pPr>
    <w:rPr>
      <w:rFonts w:ascii="宋体" w:hAnsi="宋体" w:eastAsia="宋体" w:cs="Times New Roman"/>
      <w:kern w:val="2"/>
      <w:sz w:val="21"/>
      <w:lang w:val="en-US" w:eastAsia="zh-CN" w:bidi="ar-SA"/>
    </w:rPr>
  </w:style>
  <w:style w:type="paragraph" w:styleId="19">
    <w:name w:val="Body Text"/>
    <w:basedOn w:val="1"/>
    <w:link w:val="265"/>
    <w:qFormat/>
    <w:uiPriority w:val="0"/>
    <w:pPr>
      <w:jc w:val="both"/>
    </w:pPr>
    <w:rPr>
      <w:rFonts w:ascii="Times New Roman" w:hAnsi="Times New Roman" w:eastAsia="宋体" w:cs="Times New Roman"/>
      <w:color w:val="auto"/>
      <w:kern w:val="2"/>
      <w:sz w:val="18"/>
      <w:lang w:val="en-US" w:eastAsia="zh-CN" w:bidi="ar-SA"/>
    </w:rPr>
  </w:style>
  <w:style w:type="paragraph" w:styleId="20">
    <w:name w:val="Body Text Indent"/>
    <w:basedOn w:val="1"/>
    <w:link w:val="266"/>
    <w:qFormat/>
    <w:uiPriority w:val="0"/>
    <w:pPr>
      <w:ind w:firstLine="538" w:firstLineChars="192"/>
      <w:jc w:val="both"/>
    </w:pPr>
    <w:rPr>
      <w:rFonts w:ascii="宋体" w:hAnsi="宋体" w:eastAsia="宋体" w:cs="Times New Roman"/>
      <w:kern w:val="20"/>
      <w:sz w:val="28"/>
      <w:lang w:bidi="ar-SA"/>
    </w:rPr>
  </w:style>
  <w:style w:type="paragraph" w:styleId="21">
    <w:name w:val="List 2"/>
    <w:basedOn w:val="1"/>
    <w:qFormat/>
    <w:uiPriority w:val="0"/>
    <w:pPr>
      <w:ind w:left="100" w:leftChars="200" w:hanging="200" w:hangingChars="200"/>
      <w:jc w:val="both"/>
    </w:pPr>
    <w:rPr>
      <w:rFonts w:ascii="Times New Roman" w:hAnsi="Times New Roman" w:eastAsia="宋体" w:cs="Times New Roman"/>
      <w:color w:val="auto"/>
      <w:kern w:val="2"/>
      <w:sz w:val="21"/>
      <w:lang w:val="en-US" w:eastAsia="zh-CN" w:bidi="ar-SA"/>
    </w:rPr>
  </w:style>
  <w:style w:type="paragraph" w:styleId="22">
    <w:name w:val="Block Text"/>
    <w:basedOn w:val="1"/>
    <w:qFormat/>
    <w:uiPriority w:val="0"/>
    <w:pPr>
      <w:spacing w:line="360" w:lineRule="exact"/>
      <w:ind w:left="113" w:right="113"/>
      <w:jc w:val="center"/>
    </w:pPr>
    <w:rPr>
      <w:rFonts w:ascii="宋体" w:hAnsi="宋体" w:eastAsia="宋体" w:cs="Times New Roman"/>
      <w:kern w:val="2"/>
      <w:sz w:val="21"/>
      <w:lang w:val="en-US" w:eastAsia="zh-CN" w:bidi="ar-SA"/>
    </w:rPr>
  </w:style>
  <w:style w:type="paragraph" w:styleId="23">
    <w:name w:val="toc 5"/>
    <w:basedOn w:val="1"/>
    <w:next w:val="1"/>
    <w:unhideWhenUsed/>
    <w:qFormat/>
    <w:uiPriority w:val="0"/>
    <w:pPr>
      <w:ind w:left="960"/>
    </w:pPr>
    <w:rPr>
      <w:rFonts w:asciiTheme="minorHAnsi" w:eastAsiaTheme="minorHAnsi"/>
      <w:sz w:val="18"/>
      <w:szCs w:val="18"/>
    </w:rPr>
  </w:style>
  <w:style w:type="paragraph" w:styleId="24">
    <w:name w:val="toc 3"/>
    <w:basedOn w:val="1"/>
    <w:next w:val="1"/>
    <w:link w:val="82"/>
    <w:qFormat/>
    <w:uiPriority w:val="39"/>
    <w:pPr>
      <w:ind w:left="480"/>
    </w:pPr>
    <w:rPr>
      <w:rFonts w:asciiTheme="minorHAnsi" w:eastAsiaTheme="minorHAnsi"/>
      <w:i/>
      <w:iCs/>
      <w:sz w:val="20"/>
      <w:szCs w:val="20"/>
    </w:rPr>
  </w:style>
  <w:style w:type="paragraph" w:styleId="25">
    <w:name w:val="Plain Text"/>
    <w:basedOn w:val="1"/>
    <w:link w:val="276"/>
    <w:qFormat/>
    <w:uiPriority w:val="0"/>
    <w:pPr>
      <w:jc w:val="both"/>
    </w:pPr>
    <w:rPr>
      <w:rFonts w:hint="eastAsia" w:ascii="宋体" w:hAnsi="Courier New" w:eastAsia="宋体" w:cs="Courier New"/>
      <w:color w:val="auto"/>
      <w:kern w:val="2"/>
      <w:sz w:val="21"/>
      <w:szCs w:val="21"/>
    </w:rPr>
  </w:style>
  <w:style w:type="paragraph" w:styleId="26">
    <w:name w:val="toc 8"/>
    <w:basedOn w:val="1"/>
    <w:next w:val="1"/>
    <w:unhideWhenUsed/>
    <w:qFormat/>
    <w:uiPriority w:val="0"/>
    <w:pPr>
      <w:ind w:left="1680"/>
    </w:pPr>
    <w:rPr>
      <w:rFonts w:asciiTheme="minorHAnsi" w:eastAsiaTheme="minorHAnsi"/>
      <w:sz w:val="18"/>
      <w:szCs w:val="18"/>
    </w:rPr>
  </w:style>
  <w:style w:type="paragraph" w:styleId="27">
    <w:name w:val="Date"/>
    <w:basedOn w:val="1"/>
    <w:next w:val="1"/>
    <w:link w:val="241"/>
    <w:unhideWhenUsed/>
    <w:qFormat/>
    <w:uiPriority w:val="0"/>
    <w:pPr>
      <w:ind w:left="100" w:leftChars="2500"/>
    </w:pPr>
  </w:style>
  <w:style w:type="paragraph" w:styleId="28">
    <w:name w:val="Body Text Indent 2"/>
    <w:basedOn w:val="1"/>
    <w:link w:val="273"/>
    <w:qFormat/>
    <w:uiPriority w:val="0"/>
    <w:pPr>
      <w:spacing w:after="120" w:line="480" w:lineRule="auto"/>
      <w:ind w:left="420" w:leftChars="200"/>
      <w:jc w:val="both"/>
    </w:pPr>
    <w:rPr>
      <w:rFonts w:ascii="Times New Roman" w:hAnsi="Times New Roman" w:eastAsia="宋体" w:cs="Times New Roman"/>
      <w:color w:val="auto"/>
      <w:kern w:val="2"/>
      <w:sz w:val="21"/>
      <w:lang w:val="en-US" w:eastAsia="zh-CN" w:bidi="ar-SA"/>
    </w:rPr>
  </w:style>
  <w:style w:type="paragraph" w:styleId="29">
    <w:name w:val="Balloon Text"/>
    <w:basedOn w:val="1"/>
    <w:link w:val="244"/>
    <w:semiHidden/>
    <w:unhideWhenUsed/>
    <w:qFormat/>
    <w:uiPriority w:val="0"/>
    <w:rPr>
      <w:sz w:val="18"/>
      <w:szCs w:val="18"/>
    </w:rPr>
  </w:style>
  <w:style w:type="paragraph" w:styleId="30">
    <w:name w:val="footer"/>
    <w:basedOn w:val="1"/>
    <w:link w:val="243"/>
    <w:unhideWhenUsed/>
    <w:qFormat/>
    <w:uiPriority w:val="99"/>
    <w:pPr>
      <w:tabs>
        <w:tab w:val="center" w:pos="4153"/>
        <w:tab w:val="right" w:pos="8306"/>
      </w:tabs>
      <w:snapToGrid w:val="0"/>
    </w:pPr>
    <w:rPr>
      <w:sz w:val="18"/>
      <w:szCs w:val="18"/>
    </w:rPr>
  </w:style>
  <w:style w:type="paragraph" w:styleId="31">
    <w:name w:val="header"/>
    <w:basedOn w:val="1"/>
    <w:link w:val="242"/>
    <w:unhideWhenUsed/>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pPr>
      <w:spacing w:before="120" w:after="120"/>
    </w:pPr>
    <w:rPr>
      <w:rFonts w:asciiTheme="minorHAnsi" w:eastAsiaTheme="minorHAnsi"/>
      <w:b/>
      <w:bCs/>
      <w:caps/>
      <w:sz w:val="20"/>
      <w:szCs w:val="20"/>
    </w:rPr>
  </w:style>
  <w:style w:type="paragraph" w:styleId="33">
    <w:name w:val="toc 4"/>
    <w:basedOn w:val="1"/>
    <w:next w:val="1"/>
    <w:link w:val="83"/>
    <w:qFormat/>
    <w:uiPriority w:val="0"/>
    <w:pPr>
      <w:ind w:left="720"/>
    </w:pPr>
    <w:rPr>
      <w:rFonts w:asciiTheme="minorHAnsi" w:eastAsiaTheme="minorHAnsi"/>
      <w:sz w:val="18"/>
      <w:szCs w:val="18"/>
    </w:rPr>
  </w:style>
  <w:style w:type="paragraph" w:styleId="34">
    <w:name w:val="List"/>
    <w:basedOn w:val="1"/>
    <w:next w:val="1"/>
    <w:qFormat/>
    <w:uiPriority w:val="0"/>
    <w:pPr>
      <w:keepNext/>
      <w:adjustRightInd w:val="0"/>
      <w:snapToGrid w:val="0"/>
      <w:spacing w:before="40" w:after="40" w:line="400" w:lineRule="exact"/>
      <w:jc w:val="center"/>
    </w:pPr>
    <w:rPr>
      <w:rFonts w:ascii="黑体" w:hAnsi="Arial" w:eastAsia="黑体" w:cs="Times New Roman"/>
      <w:color w:val="auto"/>
      <w:spacing w:val="8"/>
      <w:kern w:val="24"/>
      <w:sz w:val="21"/>
      <w:szCs w:val="20"/>
      <w:lang w:val="en-US" w:eastAsia="zh-CN" w:bidi="ar-SA"/>
    </w:rPr>
  </w:style>
  <w:style w:type="paragraph" w:styleId="35">
    <w:name w:val="toc 6"/>
    <w:basedOn w:val="1"/>
    <w:next w:val="1"/>
    <w:unhideWhenUsed/>
    <w:qFormat/>
    <w:uiPriority w:val="0"/>
    <w:pPr>
      <w:ind w:left="1200"/>
    </w:pPr>
    <w:rPr>
      <w:rFonts w:asciiTheme="minorHAnsi" w:eastAsiaTheme="minorHAnsi"/>
      <w:sz w:val="18"/>
      <w:szCs w:val="18"/>
    </w:rPr>
  </w:style>
  <w:style w:type="paragraph" w:styleId="36">
    <w:name w:val="Body Text Indent 3"/>
    <w:basedOn w:val="1"/>
    <w:link w:val="274"/>
    <w:qFormat/>
    <w:uiPriority w:val="0"/>
    <w:pPr>
      <w:spacing w:after="120"/>
      <w:ind w:left="420" w:leftChars="200"/>
      <w:jc w:val="both"/>
    </w:pPr>
    <w:rPr>
      <w:rFonts w:ascii="Times New Roman" w:hAnsi="Times New Roman" w:eastAsia="宋体" w:cs="Times New Roman"/>
      <w:color w:val="auto"/>
      <w:kern w:val="2"/>
      <w:sz w:val="16"/>
      <w:szCs w:val="16"/>
      <w:lang w:val="en-US" w:eastAsia="zh-CN" w:bidi="ar-SA"/>
    </w:rPr>
  </w:style>
  <w:style w:type="paragraph" w:styleId="37">
    <w:name w:val="toc 2"/>
    <w:basedOn w:val="1"/>
    <w:next w:val="1"/>
    <w:qFormat/>
    <w:uiPriority w:val="39"/>
    <w:pPr>
      <w:ind w:left="240"/>
    </w:pPr>
    <w:rPr>
      <w:rFonts w:asciiTheme="minorHAnsi" w:eastAsiaTheme="minorHAnsi"/>
      <w:smallCaps/>
      <w:sz w:val="20"/>
      <w:szCs w:val="20"/>
    </w:rPr>
  </w:style>
  <w:style w:type="paragraph" w:styleId="38">
    <w:name w:val="toc 9"/>
    <w:basedOn w:val="1"/>
    <w:next w:val="1"/>
    <w:unhideWhenUsed/>
    <w:qFormat/>
    <w:uiPriority w:val="0"/>
    <w:pPr>
      <w:ind w:left="1920"/>
    </w:pPr>
    <w:rPr>
      <w:rFonts w:asciiTheme="minorHAnsi" w:eastAsiaTheme="minorHAnsi"/>
      <w:sz w:val="18"/>
      <w:szCs w:val="18"/>
    </w:rPr>
  </w:style>
  <w:style w:type="paragraph" w:styleId="39">
    <w:name w:val="Body Text 2"/>
    <w:basedOn w:val="1"/>
    <w:link w:val="271"/>
    <w:qFormat/>
    <w:uiPriority w:val="0"/>
    <w:pPr>
      <w:spacing w:after="120" w:line="480" w:lineRule="auto"/>
      <w:jc w:val="both"/>
    </w:pPr>
    <w:rPr>
      <w:rFonts w:ascii="Times New Roman" w:hAnsi="Times New Roman" w:eastAsia="宋体" w:cs="Times New Roman"/>
      <w:color w:val="auto"/>
      <w:kern w:val="2"/>
      <w:sz w:val="21"/>
      <w:lang w:val="en-US" w:eastAsia="zh-CN" w:bidi="ar-SA"/>
    </w:rPr>
  </w:style>
  <w:style w:type="paragraph" w:styleId="40">
    <w:name w:val="HTML Preformatted"/>
    <w:basedOn w:val="1"/>
    <w:link w:val="25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eastAsia="宋体" w:cs="Arial"/>
      <w:color w:val="auto"/>
      <w:szCs w:val="20"/>
      <w:lang w:val="en-US" w:eastAsia="zh-CN" w:bidi="ar-SA"/>
    </w:rPr>
  </w:style>
  <w:style w:type="paragraph" w:styleId="41">
    <w:name w:val="Normal (Web)"/>
    <w:basedOn w:val="1"/>
    <w:link w:val="488"/>
    <w:qFormat/>
    <w:uiPriority w:val="0"/>
    <w:pPr>
      <w:widowControl/>
      <w:spacing w:before="100" w:beforeAutospacing="1" w:after="100" w:afterAutospacing="1"/>
    </w:pPr>
    <w:rPr>
      <w:rFonts w:ascii="宋体" w:hAnsi="宋体" w:eastAsia="宋体" w:cs="宋体"/>
      <w:color w:val="auto"/>
      <w:lang w:val="en-US" w:eastAsia="zh-CN" w:bidi="ar-SA"/>
    </w:rPr>
  </w:style>
  <w:style w:type="paragraph" w:styleId="42">
    <w:name w:val="index 1"/>
    <w:basedOn w:val="1"/>
    <w:next w:val="1"/>
    <w:semiHidden/>
    <w:qFormat/>
    <w:uiPriority w:val="0"/>
    <w:pPr>
      <w:spacing w:line="240" w:lineRule="atLeast"/>
      <w:jc w:val="both"/>
    </w:pPr>
    <w:rPr>
      <w:rFonts w:ascii="宋体" w:hAnsi="宋体" w:eastAsia="宋体" w:cs="Times New Roman"/>
      <w:color w:val="auto"/>
      <w:kern w:val="2"/>
      <w:sz w:val="18"/>
      <w:szCs w:val="18"/>
      <w:lang w:val="en-US" w:eastAsia="zh-CN" w:bidi="ar-SA"/>
    </w:rPr>
  </w:style>
  <w:style w:type="paragraph" w:styleId="43">
    <w:name w:val="Title"/>
    <w:basedOn w:val="1"/>
    <w:link w:val="263"/>
    <w:qFormat/>
    <w:uiPriority w:val="0"/>
    <w:pPr>
      <w:spacing w:before="240" w:after="60"/>
      <w:jc w:val="center"/>
      <w:outlineLvl w:val="0"/>
    </w:pPr>
    <w:rPr>
      <w:rFonts w:ascii="Arial" w:hAnsi="Arial" w:eastAsia="宋体" w:cs="Times New Roman"/>
      <w:b/>
      <w:bCs/>
      <w:color w:val="auto"/>
      <w:kern w:val="2"/>
      <w:sz w:val="32"/>
      <w:szCs w:val="32"/>
      <w:lang w:bidi="ar-SA"/>
    </w:rPr>
  </w:style>
  <w:style w:type="paragraph" w:styleId="44">
    <w:name w:val="annotation subject"/>
    <w:basedOn w:val="17"/>
    <w:next w:val="17"/>
    <w:link w:val="278"/>
    <w:qFormat/>
    <w:uiPriority w:val="0"/>
    <w:rPr>
      <w:b/>
      <w:bCs/>
    </w:rPr>
  </w:style>
  <w:style w:type="paragraph" w:styleId="45">
    <w:name w:val="Body Text First Indent 2"/>
    <w:basedOn w:val="20"/>
    <w:link w:val="269"/>
    <w:qFormat/>
    <w:uiPriority w:val="0"/>
    <w:pPr>
      <w:spacing w:after="120" w:line="360" w:lineRule="auto"/>
      <w:ind w:left="420" w:leftChars="200" w:firstLine="420" w:firstLineChars="200"/>
      <w:jc w:val="left"/>
    </w:pPr>
    <w:rPr>
      <w:color w:val="auto"/>
      <w:kern w:val="24"/>
    </w:r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page number"/>
    <w:basedOn w:val="48"/>
    <w:unhideWhenUsed/>
    <w:qFormat/>
    <w:uiPriority w:val="99"/>
  </w:style>
  <w:style w:type="character" w:styleId="50">
    <w:name w:val="FollowedHyperlink"/>
    <w:qFormat/>
    <w:uiPriority w:val="0"/>
    <w:rPr>
      <w:color w:val="800080"/>
      <w:u w:val="single"/>
    </w:rPr>
  </w:style>
  <w:style w:type="character" w:styleId="51">
    <w:name w:val="Emphasis"/>
    <w:qFormat/>
    <w:uiPriority w:val="20"/>
    <w:rPr>
      <w:rFonts w:ascii="仿宋_GB2312" w:hAnsi="宋体" w:eastAsia="仿宋_GB2312"/>
      <w:b/>
      <w:color w:val="CC0000"/>
      <w:kern w:val="2"/>
      <w:sz w:val="28"/>
      <w:szCs w:val="28"/>
      <w:lang w:val="en-US" w:eastAsia="zh-CN" w:bidi="ar-SA"/>
    </w:rPr>
  </w:style>
  <w:style w:type="character" w:styleId="52">
    <w:name w:val="HTML Typewriter"/>
    <w:qFormat/>
    <w:uiPriority w:val="0"/>
    <w:rPr>
      <w:rFonts w:hint="default" w:ascii="Arial Unicode MS" w:hAnsi="Arial Unicode MS" w:eastAsia="Arial Unicode MS" w:cs="Arial Unicode MS"/>
      <w:sz w:val="20"/>
      <w:szCs w:val="20"/>
    </w:rPr>
  </w:style>
  <w:style w:type="character" w:styleId="53">
    <w:name w:val="Hyperlink"/>
    <w:basedOn w:val="48"/>
    <w:qFormat/>
    <w:uiPriority w:val="99"/>
    <w:rPr>
      <w:color w:val="0066CC"/>
      <w:u w:val="single"/>
    </w:rPr>
  </w:style>
  <w:style w:type="character" w:styleId="54">
    <w:name w:val="annotation reference"/>
    <w:qFormat/>
    <w:uiPriority w:val="99"/>
    <w:rPr>
      <w:sz w:val="21"/>
      <w:szCs w:val="21"/>
    </w:rPr>
  </w:style>
  <w:style w:type="character" w:customStyle="1" w:styleId="55">
    <w:name w:val="标题 1 Char1"/>
    <w:basedOn w:val="48"/>
    <w:link w:val="3"/>
    <w:qFormat/>
    <w:uiPriority w:val="0"/>
    <w:rPr>
      <w:rFonts w:ascii="黑体" w:hAnsi="Times New Roman" w:eastAsia="黑体" w:cs="Times New Roman"/>
      <w:snapToGrid w:val="0"/>
      <w:sz w:val="32"/>
      <w:szCs w:val="32"/>
      <w:lang w:val="en-US" w:eastAsia="zh-CN" w:bidi="ar-SA"/>
    </w:rPr>
  </w:style>
  <w:style w:type="character" w:customStyle="1" w:styleId="56">
    <w:name w:val="标题 2 Char1"/>
    <w:link w:val="4"/>
    <w:qFormat/>
    <w:locked/>
    <w:uiPriority w:val="0"/>
    <w:rPr>
      <w:rFonts w:ascii="Arial" w:hAnsi="Arial" w:eastAsia="黑体" w:cs="Times New Roman"/>
      <w:b/>
      <w:bCs/>
      <w:kern w:val="2"/>
      <w:sz w:val="32"/>
      <w:szCs w:val="32"/>
      <w:lang w:bidi="ar-SA"/>
    </w:rPr>
  </w:style>
  <w:style w:type="character" w:customStyle="1" w:styleId="57">
    <w:name w:val="标题 3 Char1"/>
    <w:basedOn w:val="48"/>
    <w:link w:val="5"/>
    <w:qFormat/>
    <w:uiPriority w:val="0"/>
    <w:rPr>
      <w:rFonts w:ascii="Times New Roman" w:hAnsi="Times New Roman" w:eastAsia="宋体" w:cs="Times New Roman"/>
      <w:b/>
      <w:bCs/>
      <w:kern w:val="2"/>
      <w:sz w:val="32"/>
      <w:szCs w:val="32"/>
      <w:lang w:val="en-US" w:eastAsia="zh-CN" w:bidi="ar-SA"/>
    </w:rPr>
  </w:style>
  <w:style w:type="character" w:customStyle="1" w:styleId="58">
    <w:name w:val="标题 4 Char"/>
    <w:basedOn w:val="48"/>
    <w:link w:val="6"/>
    <w:qFormat/>
    <w:uiPriority w:val="0"/>
    <w:rPr>
      <w:rFonts w:ascii="Arial" w:hAnsi="Arial" w:eastAsia="黑体" w:cs="Times New Roman"/>
      <w:kern w:val="2"/>
      <w:sz w:val="28"/>
      <w:szCs w:val="20"/>
      <w:lang w:val="en-US" w:eastAsia="zh-CN" w:bidi="ar-SA"/>
    </w:rPr>
  </w:style>
  <w:style w:type="character" w:customStyle="1" w:styleId="59">
    <w:name w:val="标题 5 Char"/>
    <w:basedOn w:val="48"/>
    <w:link w:val="7"/>
    <w:qFormat/>
    <w:uiPriority w:val="0"/>
    <w:rPr>
      <w:rFonts w:ascii="Times New Roman" w:hAnsi="Times New Roman" w:cs="Times New Roman"/>
      <w:b/>
      <w:kern w:val="2"/>
      <w:sz w:val="28"/>
      <w:szCs w:val="20"/>
      <w:lang w:val="en-US" w:eastAsia="zh-CN" w:bidi="ar-SA"/>
    </w:rPr>
  </w:style>
  <w:style w:type="character" w:customStyle="1" w:styleId="60">
    <w:name w:val="标题 6 Char"/>
    <w:basedOn w:val="48"/>
    <w:link w:val="8"/>
    <w:qFormat/>
    <w:uiPriority w:val="0"/>
    <w:rPr>
      <w:rFonts w:ascii="Arial" w:hAnsi="Arial" w:eastAsia="黑体" w:cs="Times New Roman"/>
      <w:b/>
      <w:szCs w:val="20"/>
      <w:lang w:val="en-US" w:eastAsia="zh-CN" w:bidi="ar-SA"/>
    </w:rPr>
  </w:style>
  <w:style w:type="character" w:customStyle="1" w:styleId="61">
    <w:name w:val="标题 7 Char"/>
    <w:basedOn w:val="48"/>
    <w:link w:val="9"/>
    <w:qFormat/>
    <w:uiPriority w:val="0"/>
    <w:rPr>
      <w:rFonts w:ascii="Times New Roman" w:hAnsi="Times New Roman" w:eastAsia="宋体" w:cs="Times New Roman"/>
      <w:b/>
      <w:kern w:val="2"/>
      <w:szCs w:val="20"/>
      <w:lang w:val="en-US" w:eastAsia="zh-CN" w:bidi="ar-SA"/>
    </w:rPr>
  </w:style>
  <w:style w:type="character" w:customStyle="1" w:styleId="62">
    <w:name w:val="标题 8 Char"/>
    <w:basedOn w:val="48"/>
    <w:link w:val="10"/>
    <w:qFormat/>
    <w:uiPriority w:val="0"/>
    <w:rPr>
      <w:rFonts w:ascii="Arial" w:hAnsi="Arial" w:eastAsia="黑体" w:cs="Times New Roman"/>
      <w:szCs w:val="20"/>
      <w:lang w:val="en-US" w:eastAsia="zh-CN" w:bidi="ar-SA"/>
    </w:rPr>
  </w:style>
  <w:style w:type="character" w:customStyle="1" w:styleId="63">
    <w:name w:val="标题 9 Char1"/>
    <w:basedOn w:val="48"/>
    <w:link w:val="11"/>
    <w:qFormat/>
    <w:uiPriority w:val="0"/>
    <w:rPr>
      <w:rFonts w:ascii="Arial" w:hAnsi="Arial" w:eastAsia="黑体" w:cs="Times New Roman"/>
      <w:sz w:val="21"/>
      <w:szCs w:val="20"/>
      <w:lang w:val="en-US" w:eastAsia="zh-CN" w:bidi="ar-SA"/>
    </w:rPr>
  </w:style>
  <w:style w:type="character" w:customStyle="1" w:styleId="64">
    <w:name w:val="正文文本 (2)_"/>
    <w:basedOn w:val="48"/>
    <w:link w:val="65"/>
    <w:qFormat/>
    <w:uiPriority w:val="0"/>
    <w:rPr>
      <w:rFonts w:ascii="宋体" w:hAnsi="宋体" w:eastAsia="宋体" w:cs="宋体"/>
      <w:sz w:val="26"/>
      <w:szCs w:val="26"/>
      <w:u w:val="none"/>
    </w:rPr>
  </w:style>
  <w:style w:type="paragraph" w:customStyle="1" w:styleId="65">
    <w:name w:val="正文文本 (2)"/>
    <w:basedOn w:val="1"/>
    <w:link w:val="64"/>
    <w:qFormat/>
    <w:uiPriority w:val="0"/>
    <w:pPr>
      <w:shd w:val="clear" w:color="auto" w:fill="FFFFFF"/>
      <w:spacing w:line="0" w:lineRule="atLeast"/>
    </w:pPr>
    <w:rPr>
      <w:rFonts w:ascii="宋体" w:hAnsi="宋体" w:eastAsia="宋体" w:cs="宋体"/>
      <w:sz w:val="26"/>
      <w:szCs w:val="26"/>
    </w:rPr>
  </w:style>
  <w:style w:type="character" w:customStyle="1" w:styleId="66">
    <w:name w:val="标题 #1_"/>
    <w:basedOn w:val="48"/>
    <w:link w:val="67"/>
    <w:qFormat/>
    <w:uiPriority w:val="0"/>
    <w:rPr>
      <w:rFonts w:ascii="宋体" w:hAnsi="宋体" w:eastAsia="宋体" w:cs="宋体"/>
      <w:spacing w:val="-20"/>
      <w:sz w:val="44"/>
      <w:szCs w:val="44"/>
      <w:u w:val="none"/>
    </w:rPr>
  </w:style>
  <w:style w:type="paragraph" w:customStyle="1" w:styleId="67">
    <w:name w:val="标题 #1"/>
    <w:basedOn w:val="1"/>
    <w:link w:val="66"/>
    <w:qFormat/>
    <w:uiPriority w:val="0"/>
    <w:pPr>
      <w:shd w:val="clear" w:color="auto" w:fill="FFFFFF"/>
      <w:spacing w:after="660" w:line="0" w:lineRule="atLeast"/>
      <w:outlineLvl w:val="0"/>
    </w:pPr>
    <w:rPr>
      <w:rFonts w:ascii="宋体" w:hAnsi="宋体" w:eastAsia="宋体" w:cs="宋体"/>
      <w:spacing w:val="-20"/>
      <w:sz w:val="44"/>
      <w:szCs w:val="44"/>
    </w:rPr>
  </w:style>
  <w:style w:type="character" w:customStyle="1" w:styleId="68">
    <w:name w:val="正文文本 (3)_"/>
    <w:basedOn w:val="48"/>
    <w:link w:val="69"/>
    <w:qFormat/>
    <w:uiPriority w:val="0"/>
    <w:rPr>
      <w:rFonts w:ascii="宋体" w:hAnsi="宋体" w:eastAsia="宋体" w:cs="宋体"/>
      <w:spacing w:val="-20"/>
      <w:sz w:val="52"/>
      <w:szCs w:val="52"/>
      <w:u w:val="none"/>
    </w:rPr>
  </w:style>
  <w:style w:type="paragraph" w:customStyle="1" w:styleId="69">
    <w:name w:val="正文文本 (3)"/>
    <w:basedOn w:val="1"/>
    <w:link w:val="68"/>
    <w:qFormat/>
    <w:uiPriority w:val="0"/>
    <w:pPr>
      <w:shd w:val="clear" w:color="auto" w:fill="FFFFFF"/>
      <w:spacing w:before="660" w:after="5040" w:line="0" w:lineRule="atLeast"/>
      <w:jc w:val="center"/>
    </w:pPr>
    <w:rPr>
      <w:rFonts w:ascii="宋体" w:hAnsi="宋体" w:eastAsia="宋体" w:cs="宋体"/>
      <w:spacing w:val="-20"/>
      <w:sz w:val="52"/>
      <w:szCs w:val="52"/>
    </w:rPr>
  </w:style>
  <w:style w:type="character" w:customStyle="1" w:styleId="70">
    <w:name w:val="正文文本 (4)_"/>
    <w:basedOn w:val="48"/>
    <w:link w:val="71"/>
    <w:qFormat/>
    <w:uiPriority w:val="0"/>
    <w:rPr>
      <w:rFonts w:ascii="宋体" w:hAnsi="宋体" w:eastAsia="宋体" w:cs="宋体"/>
      <w:sz w:val="32"/>
      <w:szCs w:val="32"/>
      <w:u w:val="none"/>
    </w:rPr>
  </w:style>
  <w:style w:type="paragraph" w:customStyle="1" w:styleId="71">
    <w:name w:val="正文文本 (4)"/>
    <w:basedOn w:val="1"/>
    <w:link w:val="70"/>
    <w:qFormat/>
    <w:uiPriority w:val="0"/>
    <w:pPr>
      <w:shd w:val="clear" w:color="auto" w:fill="FFFFFF"/>
      <w:spacing w:before="5040" w:line="590" w:lineRule="exact"/>
    </w:pPr>
    <w:rPr>
      <w:rFonts w:ascii="宋体" w:hAnsi="宋体" w:eastAsia="宋体" w:cs="宋体"/>
      <w:sz w:val="32"/>
      <w:szCs w:val="32"/>
    </w:rPr>
  </w:style>
  <w:style w:type="character" w:customStyle="1" w:styleId="72">
    <w:name w:val="正文文本 (4) + 间距 2 pt"/>
    <w:basedOn w:val="70"/>
    <w:qFormat/>
    <w:uiPriority w:val="0"/>
    <w:rPr>
      <w:rFonts w:ascii="宋体" w:hAnsi="宋体" w:eastAsia="宋体" w:cs="宋体"/>
      <w:color w:val="000000"/>
      <w:spacing w:val="50"/>
      <w:w w:val="100"/>
      <w:position w:val="0"/>
      <w:sz w:val="32"/>
      <w:szCs w:val="32"/>
      <w:u w:val="none"/>
      <w:lang w:val="zh-TW" w:eastAsia="zh-TW" w:bidi="zh-TW"/>
    </w:rPr>
  </w:style>
  <w:style w:type="character" w:customStyle="1" w:styleId="73">
    <w:name w:val="标题 #2_"/>
    <w:basedOn w:val="48"/>
    <w:link w:val="74"/>
    <w:qFormat/>
    <w:uiPriority w:val="0"/>
    <w:rPr>
      <w:rFonts w:ascii="宋体" w:hAnsi="宋体" w:eastAsia="宋体" w:cs="宋体"/>
      <w:spacing w:val="230"/>
      <w:sz w:val="42"/>
      <w:szCs w:val="42"/>
      <w:u w:val="none"/>
    </w:rPr>
  </w:style>
  <w:style w:type="paragraph" w:customStyle="1" w:styleId="74">
    <w:name w:val="标题 #2"/>
    <w:basedOn w:val="1"/>
    <w:link w:val="73"/>
    <w:qFormat/>
    <w:uiPriority w:val="0"/>
    <w:pPr>
      <w:shd w:val="clear" w:color="auto" w:fill="FFFFFF"/>
      <w:spacing w:after="1440" w:line="0" w:lineRule="atLeast"/>
      <w:jc w:val="center"/>
      <w:outlineLvl w:val="1"/>
    </w:pPr>
    <w:rPr>
      <w:rFonts w:ascii="宋体" w:hAnsi="宋体" w:eastAsia="宋体" w:cs="宋体"/>
      <w:spacing w:val="230"/>
      <w:sz w:val="42"/>
      <w:szCs w:val="42"/>
    </w:rPr>
  </w:style>
  <w:style w:type="character" w:customStyle="1" w:styleId="75">
    <w:name w:val="正文文本 (2)1"/>
    <w:basedOn w:val="64"/>
    <w:qFormat/>
    <w:uiPriority w:val="0"/>
    <w:rPr>
      <w:rFonts w:ascii="宋体" w:hAnsi="宋体" w:eastAsia="宋体" w:cs="宋体"/>
      <w:color w:val="000000"/>
      <w:spacing w:val="0"/>
      <w:w w:val="100"/>
      <w:position w:val="0"/>
      <w:sz w:val="26"/>
      <w:szCs w:val="26"/>
      <w:u w:val="single"/>
      <w:lang w:val="zh-TW" w:eastAsia="zh-TW" w:bidi="zh-TW"/>
    </w:rPr>
  </w:style>
  <w:style w:type="character" w:customStyle="1" w:styleId="76">
    <w:name w:val="正文文本 (5)_"/>
    <w:basedOn w:val="48"/>
    <w:link w:val="77"/>
    <w:qFormat/>
    <w:uiPriority w:val="0"/>
    <w:rPr>
      <w:rFonts w:ascii="宋体" w:hAnsi="宋体" w:eastAsia="宋体" w:cs="宋体"/>
      <w:sz w:val="32"/>
      <w:szCs w:val="32"/>
      <w:u w:val="none"/>
    </w:rPr>
  </w:style>
  <w:style w:type="paragraph" w:customStyle="1" w:styleId="77">
    <w:name w:val="正文文本 (5)"/>
    <w:basedOn w:val="1"/>
    <w:link w:val="76"/>
    <w:qFormat/>
    <w:uiPriority w:val="0"/>
    <w:pPr>
      <w:shd w:val="clear" w:color="auto" w:fill="FFFFFF"/>
      <w:spacing w:line="595" w:lineRule="exact"/>
      <w:jc w:val="center"/>
    </w:pPr>
    <w:rPr>
      <w:rFonts w:ascii="宋体" w:hAnsi="宋体" w:eastAsia="宋体" w:cs="宋体"/>
      <w:sz w:val="32"/>
      <w:szCs w:val="32"/>
    </w:rPr>
  </w:style>
  <w:style w:type="character" w:customStyle="1" w:styleId="78">
    <w:name w:val="正文文本 (5) + 间距 7 pt"/>
    <w:basedOn w:val="76"/>
    <w:qFormat/>
    <w:uiPriority w:val="0"/>
    <w:rPr>
      <w:rFonts w:ascii="宋体" w:hAnsi="宋体" w:eastAsia="宋体" w:cs="宋体"/>
      <w:color w:val="000000"/>
      <w:spacing w:val="150"/>
      <w:w w:val="100"/>
      <w:position w:val="0"/>
      <w:sz w:val="32"/>
      <w:szCs w:val="32"/>
      <w:u w:val="none"/>
      <w:lang w:val="zh-TW" w:eastAsia="zh-TW" w:bidi="zh-TW"/>
    </w:rPr>
  </w:style>
  <w:style w:type="character" w:customStyle="1" w:styleId="79">
    <w:name w:val="正文文本 (2) + Constantia"/>
    <w:basedOn w:val="64"/>
    <w:qFormat/>
    <w:uiPriority w:val="0"/>
    <w:rPr>
      <w:rFonts w:ascii="Constantia" w:hAnsi="Constantia" w:eastAsia="Constantia" w:cs="Constantia"/>
      <w:b/>
      <w:bCs/>
      <w:color w:val="000000"/>
      <w:spacing w:val="-10"/>
      <w:w w:val="100"/>
      <w:position w:val="0"/>
      <w:sz w:val="26"/>
      <w:szCs w:val="26"/>
      <w:u w:val="none"/>
      <w:lang w:val="en-US" w:eastAsia="en-US" w:bidi="en-US"/>
    </w:rPr>
  </w:style>
  <w:style w:type="character" w:customStyle="1" w:styleId="80">
    <w:name w:val="标题 #3_"/>
    <w:basedOn w:val="48"/>
    <w:link w:val="81"/>
    <w:qFormat/>
    <w:uiPriority w:val="0"/>
    <w:rPr>
      <w:rFonts w:ascii="宋体" w:hAnsi="宋体" w:eastAsia="宋体" w:cs="宋体"/>
      <w:sz w:val="32"/>
      <w:szCs w:val="32"/>
      <w:u w:val="none"/>
    </w:rPr>
  </w:style>
  <w:style w:type="paragraph" w:customStyle="1" w:styleId="81">
    <w:name w:val="标题 #3"/>
    <w:basedOn w:val="1"/>
    <w:link w:val="80"/>
    <w:qFormat/>
    <w:uiPriority w:val="0"/>
    <w:pPr>
      <w:shd w:val="clear" w:color="auto" w:fill="FFFFFF"/>
      <w:spacing w:line="595" w:lineRule="exact"/>
      <w:jc w:val="center"/>
      <w:outlineLvl w:val="2"/>
    </w:pPr>
    <w:rPr>
      <w:rFonts w:ascii="宋体" w:hAnsi="宋体" w:eastAsia="宋体" w:cs="宋体"/>
      <w:sz w:val="32"/>
      <w:szCs w:val="32"/>
    </w:rPr>
  </w:style>
  <w:style w:type="character" w:customStyle="1" w:styleId="82">
    <w:name w:val="目录 3 Char"/>
    <w:basedOn w:val="48"/>
    <w:link w:val="24"/>
    <w:qFormat/>
    <w:uiPriority w:val="39"/>
    <w:rPr>
      <w:rFonts w:asciiTheme="minorHAnsi" w:eastAsiaTheme="minorHAnsi"/>
      <w:i/>
      <w:iCs/>
      <w:color w:val="000000"/>
      <w:sz w:val="20"/>
      <w:szCs w:val="20"/>
    </w:rPr>
  </w:style>
  <w:style w:type="character" w:customStyle="1" w:styleId="83">
    <w:name w:val="目录 4 Char"/>
    <w:basedOn w:val="48"/>
    <w:link w:val="33"/>
    <w:qFormat/>
    <w:uiPriority w:val="0"/>
    <w:rPr>
      <w:rFonts w:asciiTheme="minorHAnsi" w:eastAsiaTheme="minorHAnsi"/>
      <w:color w:val="000000"/>
      <w:sz w:val="18"/>
      <w:szCs w:val="18"/>
    </w:rPr>
  </w:style>
  <w:style w:type="character" w:customStyle="1" w:styleId="84">
    <w:name w:val="目录 (2) + 14 pt"/>
    <w:basedOn w:val="82"/>
    <w:qFormat/>
    <w:uiPriority w:val="0"/>
    <w:rPr>
      <w:rFonts w:ascii="宋体" w:hAnsi="宋体" w:eastAsia="宋体" w:cs="宋体"/>
      <w:b/>
      <w:bCs/>
      <w:color w:val="000000"/>
      <w:spacing w:val="0"/>
      <w:w w:val="100"/>
      <w:position w:val="0"/>
      <w:sz w:val="28"/>
      <w:szCs w:val="28"/>
      <w:u w:val="none"/>
    </w:rPr>
  </w:style>
  <w:style w:type="character" w:customStyle="1" w:styleId="85">
    <w:name w:val="目录 (2) + Arial Narrow"/>
    <w:basedOn w:val="82"/>
    <w:qFormat/>
    <w:uiPriority w:val="0"/>
    <w:rPr>
      <w:rFonts w:ascii="Arial Narrow" w:hAnsi="Arial Narrow" w:eastAsia="Arial Narrow" w:cs="Arial Narrow"/>
      <w:b/>
      <w:bCs/>
      <w:i w:val="0"/>
      <w:iCs w:val="0"/>
      <w:color w:val="000000"/>
      <w:spacing w:val="0"/>
      <w:w w:val="100"/>
      <w:position w:val="0"/>
      <w:sz w:val="26"/>
      <w:szCs w:val="26"/>
      <w:u w:val="none"/>
      <w:lang w:val="zh-TW" w:eastAsia="zh-TW" w:bidi="zh-TW"/>
    </w:rPr>
  </w:style>
  <w:style w:type="character" w:customStyle="1" w:styleId="86">
    <w:name w:val="页眉或页脚_"/>
    <w:basedOn w:val="48"/>
    <w:link w:val="87"/>
    <w:qFormat/>
    <w:uiPriority w:val="0"/>
    <w:rPr>
      <w:rFonts w:ascii="宋体" w:hAnsi="宋体" w:eastAsia="宋体" w:cs="宋体"/>
      <w:sz w:val="18"/>
      <w:szCs w:val="18"/>
      <w:u w:val="none"/>
    </w:rPr>
  </w:style>
  <w:style w:type="paragraph" w:customStyle="1" w:styleId="87">
    <w:name w:val="页眉或页脚"/>
    <w:basedOn w:val="1"/>
    <w:link w:val="86"/>
    <w:qFormat/>
    <w:uiPriority w:val="0"/>
    <w:pPr>
      <w:shd w:val="clear" w:color="auto" w:fill="FFFFFF"/>
      <w:spacing w:line="0" w:lineRule="atLeast"/>
    </w:pPr>
    <w:rPr>
      <w:rFonts w:ascii="宋体" w:hAnsi="宋体" w:eastAsia="宋体" w:cs="宋体"/>
      <w:sz w:val="18"/>
      <w:szCs w:val="18"/>
    </w:rPr>
  </w:style>
  <w:style w:type="character" w:customStyle="1" w:styleId="88">
    <w:name w:val="标题 #3 + 间距 3 pt"/>
    <w:basedOn w:val="80"/>
    <w:qFormat/>
    <w:uiPriority w:val="0"/>
    <w:rPr>
      <w:rFonts w:ascii="宋体" w:hAnsi="宋体" w:eastAsia="宋体" w:cs="宋体"/>
      <w:color w:val="000000"/>
      <w:spacing w:val="70"/>
      <w:w w:val="100"/>
      <w:position w:val="0"/>
      <w:sz w:val="32"/>
      <w:szCs w:val="32"/>
      <w:u w:val="none"/>
      <w:lang w:val="zh-TW" w:eastAsia="zh-TW" w:bidi="zh-TW"/>
    </w:rPr>
  </w:style>
  <w:style w:type="character" w:customStyle="1" w:styleId="89">
    <w:name w:val="标题 #4_"/>
    <w:basedOn w:val="48"/>
    <w:link w:val="90"/>
    <w:qFormat/>
    <w:uiPriority w:val="0"/>
    <w:rPr>
      <w:rFonts w:ascii="宋体" w:hAnsi="宋体" w:eastAsia="宋体" w:cs="宋体"/>
      <w:b/>
      <w:bCs/>
      <w:sz w:val="28"/>
      <w:szCs w:val="28"/>
      <w:u w:val="none"/>
    </w:rPr>
  </w:style>
  <w:style w:type="paragraph" w:customStyle="1" w:styleId="90">
    <w:name w:val="标题 #4"/>
    <w:basedOn w:val="1"/>
    <w:link w:val="89"/>
    <w:qFormat/>
    <w:uiPriority w:val="0"/>
    <w:pPr>
      <w:shd w:val="clear" w:color="auto" w:fill="FFFFFF"/>
      <w:spacing w:before="420" w:line="595" w:lineRule="exact"/>
      <w:outlineLvl w:val="3"/>
    </w:pPr>
    <w:rPr>
      <w:rFonts w:ascii="宋体" w:hAnsi="宋体" w:eastAsia="宋体" w:cs="宋体"/>
      <w:b/>
      <w:bCs/>
      <w:sz w:val="28"/>
      <w:szCs w:val="28"/>
    </w:rPr>
  </w:style>
  <w:style w:type="character" w:customStyle="1" w:styleId="91">
    <w:name w:val="标题 #4 + 间距 1 pt"/>
    <w:basedOn w:val="89"/>
    <w:qFormat/>
    <w:uiPriority w:val="0"/>
    <w:rPr>
      <w:rFonts w:ascii="宋体" w:hAnsi="宋体" w:eastAsia="宋体" w:cs="宋体"/>
      <w:color w:val="000000"/>
      <w:spacing w:val="30"/>
      <w:w w:val="100"/>
      <w:position w:val="0"/>
      <w:sz w:val="28"/>
      <w:szCs w:val="28"/>
      <w:u w:val="none"/>
      <w:lang w:val="zh-TW" w:eastAsia="zh-TW" w:bidi="zh-TW"/>
    </w:rPr>
  </w:style>
  <w:style w:type="character" w:customStyle="1" w:styleId="92">
    <w:name w:val="正文文本 (6)_"/>
    <w:basedOn w:val="48"/>
    <w:link w:val="93"/>
    <w:qFormat/>
    <w:uiPriority w:val="0"/>
    <w:rPr>
      <w:rFonts w:ascii="宋体" w:hAnsi="宋体" w:eastAsia="宋体" w:cs="宋体"/>
      <w:sz w:val="20"/>
      <w:szCs w:val="20"/>
      <w:u w:val="none"/>
    </w:rPr>
  </w:style>
  <w:style w:type="paragraph" w:customStyle="1" w:styleId="93">
    <w:name w:val="正文文本 (6)"/>
    <w:basedOn w:val="1"/>
    <w:link w:val="92"/>
    <w:qFormat/>
    <w:uiPriority w:val="0"/>
    <w:pPr>
      <w:shd w:val="clear" w:color="auto" w:fill="FFFFFF"/>
      <w:spacing w:before="120" w:line="0" w:lineRule="atLeast"/>
      <w:jc w:val="center"/>
    </w:pPr>
    <w:rPr>
      <w:rFonts w:ascii="宋体" w:hAnsi="宋体" w:eastAsia="宋体" w:cs="宋体"/>
      <w:sz w:val="20"/>
      <w:szCs w:val="20"/>
    </w:rPr>
  </w:style>
  <w:style w:type="character" w:customStyle="1" w:styleId="94">
    <w:name w:val="正文文本 (2) + 间距 4 pt"/>
    <w:basedOn w:val="64"/>
    <w:qFormat/>
    <w:uiPriority w:val="0"/>
    <w:rPr>
      <w:rFonts w:ascii="宋体" w:hAnsi="宋体" w:eastAsia="宋体" w:cs="宋体"/>
      <w:color w:val="000000"/>
      <w:spacing w:val="90"/>
      <w:w w:val="100"/>
      <w:position w:val="0"/>
      <w:sz w:val="26"/>
      <w:szCs w:val="26"/>
      <w:u w:val="none"/>
      <w:lang w:val="zh-TW" w:eastAsia="zh-TW" w:bidi="zh-TW"/>
    </w:rPr>
  </w:style>
  <w:style w:type="character" w:customStyle="1" w:styleId="95">
    <w:name w:val="正文文本 (2) + 间距 2 pt"/>
    <w:basedOn w:val="64"/>
    <w:qFormat/>
    <w:uiPriority w:val="0"/>
    <w:rPr>
      <w:rFonts w:ascii="宋体" w:hAnsi="宋体" w:eastAsia="宋体" w:cs="宋体"/>
      <w:color w:val="000000"/>
      <w:spacing w:val="40"/>
      <w:w w:val="100"/>
      <w:position w:val="0"/>
      <w:sz w:val="26"/>
      <w:szCs w:val="26"/>
      <w:u w:val="none"/>
      <w:lang w:val="zh-TW" w:eastAsia="zh-TW" w:bidi="zh-TW"/>
    </w:rPr>
  </w:style>
  <w:style w:type="character" w:customStyle="1" w:styleId="96">
    <w:name w:val="表格标题 (2)_"/>
    <w:basedOn w:val="48"/>
    <w:link w:val="97"/>
    <w:qFormat/>
    <w:uiPriority w:val="0"/>
    <w:rPr>
      <w:rFonts w:ascii="宋体" w:hAnsi="宋体" w:eastAsia="宋体" w:cs="宋体"/>
      <w:u w:val="none"/>
    </w:rPr>
  </w:style>
  <w:style w:type="paragraph" w:customStyle="1" w:styleId="97">
    <w:name w:val="表格标题 (2)"/>
    <w:basedOn w:val="1"/>
    <w:link w:val="96"/>
    <w:qFormat/>
    <w:uiPriority w:val="0"/>
    <w:pPr>
      <w:shd w:val="clear" w:color="auto" w:fill="FFFFFF"/>
      <w:spacing w:line="0" w:lineRule="atLeast"/>
      <w:jc w:val="distribute"/>
    </w:pPr>
    <w:rPr>
      <w:rFonts w:ascii="宋体" w:hAnsi="宋体" w:eastAsia="宋体" w:cs="宋体"/>
    </w:rPr>
  </w:style>
  <w:style w:type="character" w:customStyle="1" w:styleId="98">
    <w:name w:val="正文文本 (2) + 10 pt"/>
    <w:basedOn w:val="64"/>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99">
    <w:name w:val="正文文本 (2) + Constantia1"/>
    <w:basedOn w:val="64"/>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00">
    <w:name w:val="正文文本 (2) + 10 pt1"/>
    <w:basedOn w:val="64"/>
    <w:qFormat/>
    <w:uiPriority w:val="0"/>
    <w:rPr>
      <w:rFonts w:ascii="宋体" w:hAnsi="宋体" w:eastAsia="宋体" w:cs="宋体"/>
      <w:color w:val="000000"/>
      <w:spacing w:val="30"/>
      <w:w w:val="100"/>
      <w:position w:val="0"/>
      <w:sz w:val="20"/>
      <w:szCs w:val="20"/>
      <w:u w:val="none"/>
      <w:lang w:val="zh-TW" w:eastAsia="zh-TW" w:bidi="zh-TW"/>
    </w:rPr>
  </w:style>
  <w:style w:type="character" w:customStyle="1" w:styleId="101">
    <w:name w:val="正文文本 (2) + Constantia2"/>
    <w:basedOn w:val="64"/>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02">
    <w:name w:val="正文文本 (2) + 10 pt2"/>
    <w:basedOn w:val="64"/>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03">
    <w:name w:val="正文文本 (2) + Constantia3"/>
    <w:basedOn w:val="64"/>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04">
    <w:name w:val="表格标题 (3)_"/>
    <w:basedOn w:val="48"/>
    <w:link w:val="105"/>
    <w:qFormat/>
    <w:uiPriority w:val="0"/>
    <w:rPr>
      <w:rFonts w:ascii="宋体" w:hAnsi="宋体" w:eastAsia="宋体" w:cs="宋体"/>
      <w:b/>
      <w:bCs/>
      <w:sz w:val="28"/>
      <w:szCs w:val="28"/>
      <w:u w:val="none"/>
    </w:rPr>
  </w:style>
  <w:style w:type="paragraph" w:customStyle="1" w:styleId="105">
    <w:name w:val="表格标题 (3)"/>
    <w:basedOn w:val="1"/>
    <w:link w:val="104"/>
    <w:qFormat/>
    <w:uiPriority w:val="0"/>
    <w:pPr>
      <w:shd w:val="clear" w:color="auto" w:fill="FFFFFF"/>
      <w:spacing w:line="0" w:lineRule="atLeast"/>
    </w:pPr>
    <w:rPr>
      <w:rFonts w:ascii="宋体" w:hAnsi="宋体" w:eastAsia="宋体" w:cs="宋体"/>
      <w:b/>
      <w:bCs/>
      <w:sz w:val="28"/>
      <w:szCs w:val="28"/>
    </w:rPr>
  </w:style>
  <w:style w:type="character" w:customStyle="1" w:styleId="106">
    <w:name w:val="正文文本 (2) + 间距 -2 pt"/>
    <w:basedOn w:val="64"/>
    <w:qFormat/>
    <w:uiPriority w:val="0"/>
    <w:rPr>
      <w:rFonts w:ascii="宋体" w:hAnsi="宋体" w:eastAsia="宋体" w:cs="宋体"/>
      <w:color w:val="000000"/>
      <w:spacing w:val="-40"/>
      <w:w w:val="100"/>
      <w:position w:val="0"/>
      <w:sz w:val="26"/>
      <w:szCs w:val="26"/>
      <w:u w:val="none"/>
      <w:lang w:val="zh-TW" w:eastAsia="zh-TW" w:bidi="zh-TW"/>
    </w:rPr>
  </w:style>
  <w:style w:type="character" w:customStyle="1" w:styleId="107">
    <w:name w:val="正文文本 (2) + 10.5 pt"/>
    <w:basedOn w:val="64"/>
    <w:qFormat/>
    <w:uiPriority w:val="0"/>
    <w:rPr>
      <w:rFonts w:ascii="宋体" w:hAnsi="宋体" w:eastAsia="宋体" w:cs="宋体"/>
      <w:b/>
      <w:bCs/>
      <w:color w:val="000000"/>
      <w:spacing w:val="0"/>
      <w:w w:val="100"/>
      <w:position w:val="0"/>
      <w:sz w:val="21"/>
      <w:szCs w:val="21"/>
      <w:u w:val="none"/>
      <w:lang w:val="zh-TW" w:eastAsia="zh-TW" w:bidi="zh-TW"/>
    </w:rPr>
  </w:style>
  <w:style w:type="character" w:customStyle="1" w:styleId="108">
    <w:name w:val="正文文本 (2) + Arial Narrow"/>
    <w:basedOn w:val="64"/>
    <w:qFormat/>
    <w:uiPriority w:val="0"/>
    <w:rPr>
      <w:rFonts w:ascii="Arial Narrow" w:hAnsi="Arial Narrow" w:eastAsia="Arial Narrow" w:cs="Arial Narrow"/>
      <w:b/>
      <w:bCs/>
      <w:color w:val="000000"/>
      <w:spacing w:val="0"/>
      <w:w w:val="100"/>
      <w:position w:val="0"/>
      <w:sz w:val="18"/>
      <w:szCs w:val="18"/>
      <w:u w:val="none"/>
      <w:lang w:val="en-US" w:eastAsia="en-US" w:bidi="en-US"/>
    </w:rPr>
  </w:style>
  <w:style w:type="character" w:customStyle="1" w:styleId="109">
    <w:name w:val="正文文本 (2) + 10 pt3"/>
    <w:basedOn w:val="64"/>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10">
    <w:name w:val="正文文本 (2) + Times New Roman"/>
    <w:basedOn w:val="64"/>
    <w:qFormat/>
    <w:uiPriority w:val="0"/>
    <w:rPr>
      <w:rFonts w:ascii="Times New Roman" w:hAnsi="Times New Roman" w:eastAsia="Times New Roman" w:cs="Times New Roman"/>
      <w:b/>
      <w:bCs/>
      <w:color w:val="000000"/>
      <w:spacing w:val="-20"/>
      <w:w w:val="100"/>
      <w:position w:val="0"/>
      <w:sz w:val="48"/>
      <w:szCs w:val="48"/>
      <w:u w:val="none"/>
      <w:lang w:val="en-US" w:eastAsia="en-US" w:bidi="en-US"/>
    </w:rPr>
  </w:style>
  <w:style w:type="character" w:customStyle="1" w:styleId="111">
    <w:name w:val="正文文本 (7)_"/>
    <w:basedOn w:val="48"/>
    <w:link w:val="112"/>
    <w:qFormat/>
    <w:uiPriority w:val="0"/>
    <w:rPr>
      <w:rFonts w:ascii="宋体" w:hAnsi="宋体" w:eastAsia="宋体" w:cs="宋体"/>
      <w:u w:val="none"/>
    </w:rPr>
  </w:style>
  <w:style w:type="paragraph" w:customStyle="1" w:styleId="112">
    <w:name w:val="正文文本 (7)"/>
    <w:basedOn w:val="1"/>
    <w:link w:val="111"/>
    <w:qFormat/>
    <w:uiPriority w:val="0"/>
    <w:pPr>
      <w:shd w:val="clear" w:color="auto" w:fill="FFFFFF"/>
      <w:spacing w:before="180" w:line="0" w:lineRule="atLeast"/>
      <w:jc w:val="center"/>
    </w:pPr>
    <w:rPr>
      <w:rFonts w:ascii="宋体" w:hAnsi="宋体" w:eastAsia="宋体" w:cs="宋体"/>
    </w:rPr>
  </w:style>
  <w:style w:type="character" w:customStyle="1" w:styleId="113">
    <w:name w:val="正文文本 (6) + Constantia"/>
    <w:basedOn w:val="92"/>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14">
    <w:name w:val="正文文本 (2) + 10 pt4"/>
    <w:basedOn w:val="64"/>
    <w:qFormat/>
    <w:uiPriority w:val="0"/>
    <w:rPr>
      <w:rFonts w:ascii="宋体" w:hAnsi="宋体" w:eastAsia="宋体" w:cs="宋体"/>
      <w:color w:val="000000"/>
      <w:spacing w:val="30"/>
      <w:w w:val="100"/>
      <w:position w:val="0"/>
      <w:sz w:val="20"/>
      <w:szCs w:val="20"/>
      <w:u w:val="none"/>
      <w:lang w:val="zh-TW" w:eastAsia="zh-TW" w:bidi="zh-TW"/>
    </w:rPr>
  </w:style>
  <w:style w:type="character" w:customStyle="1" w:styleId="115">
    <w:name w:val="表格标题_"/>
    <w:basedOn w:val="48"/>
    <w:link w:val="116"/>
    <w:qFormat/>
    <w:uiPriority w:val="0"/>
    <w:rPr>
      <w:rFonts w:ascii="宋体" w:hAnsi="宋体" w:eastAsia="宋体" w:cs="宋体"/>
      <w:sz w:val="20"/>
      <w:szCs w:val="20"/>
      <w:u w:val="none"/>
    </w:rPr>
  </w:style>
  <w:style w:type="paragraph" w:customStyle="1" w:styleId="116">
    <w:name w:val="表格标题"/>
    <w:basedOn w:val="1"/>
    <w:link w:val="115"/>
    <w:qFormat/>
    <w:uiPriority w:val="0"/>
    <w:pPr>
      <w:shd w:val="clear" w:color="auto" w:fill="FFFFFF"/>
      <w:spacing w:line="0" w:lineRule="atLeast"/>
    </w:pPr>
    <w:rPr>
      <w:rFonts w:ascii="宋体" w:hAnsi="宋体" w:eastAsia="宋体" w:cs="宋体"/>
      <w:sz w:val="20"/>
      <w:szCs w:val="20"/>
    </w:rPr>
  </w:style>
  <w:style w:type="character" w:customStyle="1" w:styleId="117">
    <w:name w:val="正文文本 (2) + Constantia4"/>
    <w:basedOn w:val="64"/>
    <w:qFormat/>
    <w:uiPriority w:val="0"/>
    <w:rPr>
      <w:rFonts w:ascii="Constantia" w:hAnsi="Constantia" w:eastAsia="Constantia" w:cs="Constantia"/>
      <w:b/>
      <w:bCs/>
      <w:color w:val="000000"/>
      <w:spacing w:val="-10"/>
      <w:w w:val="100"/>
      <w:position w:val="0"/>
      <w:sz w:val="26"/>
      <w:szCs w:val="26"/>
      <w:u w:val="none"/>
      <w:lang w:val="en-US" w:eastAsia="en-US" w:bidi="en-US"/>
    </w:rPr>
  </w:style>
  <w:style w:type="character" w:customStyle="1" w:styleId="118">
    <w:name w:val="正文文本 (2) + 10 pt5"/>
    <w:basedOn w:val="64"/>
    <w:qFormat/>
    <w:uiPriority w:val="0"/>
    <w:rPr>
      <w:rFonts w:ascii="宋体" w:hAnsi="宋体" w:eastAsia="宋体" w:cs="宋体"/>
      <w:color w:val="000000"/>
      <w:spacing w:val="60"/>
      <w:w w:val="100"/>
      <w:position w:val="0"/>
      <w:sz w:val="20"/>
      <w:szCs w:val="20"/>
      <w:u w:val="none"/>
      <w:lang w:val="zh-TW" w:eastAsia="zh-TW" w:bidi="zh-TW"/>
    </w:rPr>
  </w:style>
  <w:style w:type="character" w:customStyle="1" w:styleId="119">
    <w:name w:val="正文文本 (2) + Constantia5"/>
    <w:basedOn w:val="64"/>
    <w:qFormat/>
    <w:uiPriority w:val="0"/>
    <w:rPr>
      <w:rFonts w:ascii="Constantia" w:hAnsi="Constantia" w:eastAsia="Constantia" w:cs="Constantia"/>
      <w:b/>
      <w:bCs/>
      <w:i/>
      <w:iCs/>
      <w:color w:val="000000"/>
      <w:spacing w:val="-30"/>
      <w:w w:val="100"/>
      <w:position w:val="0"/>
      <w:sz w:val="22"/>
      <w:szCs w:val="22"/>
      <w:u w:val="none"/>
      <w:lang w:val="en-US" w:eastAsia="en-US" w:bidi="en-US"/>
    </w:rPr>
  </w:style>
  <w:style w:type="character" w:customStyle="1" w:styleId="120">
    <w:name w:val="正文文本 (2) + Bookman Old Style"/>
    <w:basedOn w:val="64"/>
    <w:qFormat/>
    <w:uiPriority w:val="0"/>
    <w:rPr>
      <w:rFonts w:ascii="Bookman Old Style" w:hAnsi="Bookman Old Style" w:eastAsia="Bookman Old Style" w:cs="Bookman Old Style"/>
      <w:color w:val="000000"/>
      <w:spacing w:val="0"/>
      <w:w w:val="100"/>
      <w:position w:val="0"/>
      <w:sz w:val="52"/>
      <w:szCs w:val="52"/>
      <w:u w:val="none"/>
      <w:lang w:val="en-US" w:eastAsia="en-US" w:bidi="en-US"/>
    </w:rPr>
  </w:style>
  <w:style w:type="character" w:customStyle="1" w:styleId="121">
    <w:name w:val="正文文本 (2) + 10 pt6"/>
    <w:basedOn w:val="64"/>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22">
    <w:name w:val="正文文本 (8)_"/>
    <w:basedOn w:val="48"/>
    <w:link w:val="123"/>
    <w:qFormat/>
    <w:uiPriority w:val="0"/>
    <w:rPr>
      <w:rFonts w:ascii="宋体" w:hAnsi="宋体" w:eastAsia="宋体" w:cs="宋体"/>
      <w:b/>
      <w:bCs/>
      <w:sz w:val="28"/>
      <w:szCs w:val="28"/>
      <w:u w:val="none"/>
    </w:rPr>
  </w:style>
  <w:style w:type="paragraph" w:customStyle="1" w:styleId="123">
    <w:name w:val="正文文本 (8)"/>
    <w:basedOn w:val="1"/>
    <w:link w:val="122"/>
    <w:qFormat/>
    <w:uiPriority w:val="0"/>
    <w:pPr>
      <w:shd w:val="clear" w:color="auto" w:fill="FFFFFF"/>
      <w:spacing w:line="600" w:lineRule="exact"/>
      <w:jc w:val="distribute"/>
    </w:pPr>
    <w:rPr>
      <w:rFonts w:ascii="宋体" w:hAnsi="宋体" w:eastAsia="宋体" w:cs="宋体"/>
      <w:b/>
      <w:bCs/>
      <w:sz w:val="28"/>
      <w:szCs w:val="28"/>
    </w:rPr>
  </w:style>
  <w:style w:type="character" w:customStyle="1" w:styleId="124">
    <w:name w:val="正文文本 (8) + 13 pt"/>
    <w:basedOn w:val="122"/>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25">
    <w:name w:val="正文文本 (8) + 9 pt"/>
    <w:basedOn w:val="122"/>
    <w:qFormat/>
    <w:uiPriority w:val="0"/>
    <w:rPr>
      <w:rFonts w:ascii="宋体" w:hAnsi="宋体" w:eastAsia="宋体" w:cs="宋体"/>
      <w:color w:val="000000"/>
      <w:spacing w:val="0"/>
      <w:w w:val="100"/>
      <w:position w:val="0"/>
      <w:sz w:val="18"/>
      <w:szCs w:val="18"/>
      <w:u w:val="none"/>
      <w:lang w:val="zh-TW" w:eastAsia="zh-TW" w:bidi="zh-TW"/>
    </w:rPr>
  </w:style>
  <w:style w:type="character" w:customStyle="1" w:styleId="126">
    <w:name w:val="正文文本 (8) + 间距 2 pt"/>
    <w:basedOn w:val="122"/>
    <w:qFormat/>
    <w:uiPriority w:val="0"/>
    <w:rPr>
      <w:rFonts w:ascii="宋体" w:hAnsi="宋体" w:eastAsia="宋体" w:cs="宋体"/>
      <w:color w:val="000000"/>
      <w:spacing w:val="50"/>
      <w:w w:val="100"/>
      <w:position w:val="0"/>
      <w:sz w:val="28"/>
      <w:szCs w:val="28"/>
      <w:u w:val="none"/>
      <w:lang w:val="zh-TW" w:eastAsia="zh-TW" w:bidi="zh-TW"/>
    </w:rPr>
  </w:style>
  <w:style w:type="character" w:customStyle="1" w:styleId="127">
    <w:name w:val="正文文本 (2) + 10 pt7"/>
    <w:basedOn w:val="64"/>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28">
    <w:name w:val="正文文本 (2) + Constantia6"/>
    <w:basedOn w:val="64"/>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29">
    <w:name w:val="表格标题 (4)_"/>
    <w:basedOn w:val="48"/>
    <w:link w:val="130"/>
    <w:qFormat/>
    <w:uiPriority w:val="0"/>
    <w:rPr>
      <w:rFonts w:ascii="宋体" w:hAnsi="宋体" w:eastAsia="宋体" w:cs="宋体"/>
      <w:spacing w:val="30"/>
      <w:sz w:val="28"/>
      <w:szCs w:val="28"/>
      <w:u w:val="none"/>
    </w:rPr>
  </w:style>
  <w:style w:type="paragraph" w:customStyle="1" w:styleId="130">
    <w:name w:val="表格标题 (4)"/>
    <w:basedOn w:val="1"/>
    <w:link w:val="129"/>
    <w:qFormat/>
    <w:uiPriority w:val="0"/>
    <w:pPr>
      <w:shd w:val="clear" w:color="auto" w:fill="FFFFFF"/>
      <w:spacing w:line="0" w:lineRule="atLeast"/>
    </w:pPr>
    <w:rPr>
      <w:rFonts w:ascii="宋体" w:hAnsi="宋体" w:eastAsia="宋体" w:cs="宋体"/>
      <w:spacing w:val="30"/>
      <w:sz w:val="28"/>
      <w:szCs w:val="28"/>
    </w:rPr>
  </w:style>
  <w:style w:type="character" w:customStyle="1" w:styleId="131">
    <w:name w:val="正文文本 (2) + 10.5 pt1"/>
    <w:basedOn w:val="64"/>
    <w:qFormat/>
    <w:uiPriority w:val="0"/>
    <w:rPr>
      <w:rFonts w:ascii="宋体" w:hAnsi="宋体" w:eastAsia="宋体" w:cs="宋体"/>
      <w:b/>
      <w:bCs/>
      <w:color w:val="000000"/>
      <w:spacing w:val="0"/>
      <w:w w:val="100"/>
      <w:position w:val="0"/>
      <w:sz w:val="21"/>
      <w:szCs w:val="21"/>
      <w:u w:val="none"/>
      <w:lang w:val="zh-TW" w:eastAsia="zh-TW" w:bidi="zh-TW"/>
    </w:rPr>
  </w:style>
  <w:style w:type="character" w:customStyle="1" w:styleId="132">
    <w:name w:val="正文文本 (2) + 23 pt"/>
    <w:basedOn w:val="64"/>
    <w:qFormat/>
    <w:uiPriority w:val="0"/>
    <w:rPr>
      <w:rFonts w:ascii="宋体" w:hAnsi="宋体" w:eastAsia="宋体" w:cs="宋体"/>
      <w:color w:val="000000"/>
      <w:spacing w:val="0"/>
      <w:w w:val="100"/>
      <w:position w:val="0"/>
      <w:sz w:val="46"/>
      <w:szCs w:val="46"/>
      <w:u w:val="none"/>
      <w:lang w:val="zh-TW" w:eastAsia="zh-TW" w:bidi="zh-TW"/>
    </w:rPr>
  </w:style>
  <w:style w:type="character" w:customStyle="1" w:styleId="133">
    <w:name w:val="正文文本 (2) + 10.5 pt2"/>
    <w:basedOn w:val="64"/>
    <w:qFormat/>
    <w:uiPriority w:val="0"/>
    <w:rPr>
      <w:rFonts w:ascii="宋体" w:hAnsi="宋体" w:eastAsia="宋体" w:cs="宋体"/>
      <w:b/>
      <w:bCs/>
      <w:color w:val="000000"/>
      <w:spacing w:val="0"/>
      <w:w w:val="100"/>
      <w:position w:val="0"/>
      <w:sz w:val="21"/>
      <w:szCs w:val="21"/>
      <w:u w:val="none"/>
      <w:lang w:val="en-US" w:eastAsia="en-US" w:bidi="en-US"/>
    </w:rPr>
  </w:style>
  <w:style w:type="character" w:customStyle="1" w:styleId="134">
    <w:name w:val="正文文本 (2) + Arial Narrow1"/>
    <w:basedOn w:val="64"/>
    <w:qFormat/>
    <w:uiPriority w:val="0"/>
    <w:rPr>
      <w:rFonts w:ascii="Arial Narrow" w:hAnsi="Arial Narrow" w:eastAsia="Arial Narrow" w:cs="Arial Narrow"/>
      <w:b/>
      <w:bCs/>
      <w:color w:val="000000"/>
      <w:spacing w:val="0"/>
      <w:w w:val="100"/>
      <w:position w:val="0"/>
      <w:sz w:val="18"/>
      <w:szCs w:val="18"/>
      <w:u w:val="none"/>
      <w:lang w:val="en-US" w:eastAsia="en-US" w:bidi="en-US"/>
    </w:rPr>
  </w:style>
  <w:style w:type="character" w:customStyle="1" w:styleId="135">
    <w:name w:val="正文文本 (2) + Constantia7"/>
    <w:basedOn w:val="64"/>
    <w:qFormat/>
    <w:uiPriority w:val="0"/>
    <w:rPr>
      <w:rFonts w:ascii="Constantia" w:hAnsi="Constantia" w:eastAsia="Constantia" w:cs="Constantia"/>
      <w:b/>
      <w:bCs/>
      <w:color w:val="000000"/>
      <w:spacing w:val="0"/>
      <w:w w:val="100"/>
      <w:position w:val="0"/>
      <w:sz w:val="26"/>
      <w:szCs w:val="26"/>
      <w:u w:val="none"/>
      <w:lang w:val="en-US" w:eastAsia="en-US" w:bidi="en-US"/>
    </w:rPr>
  </w:style>
  <w:style w:type="character" w:customStyle="1" w:styleId="136">
    <w:name w:val="标题 #4 (2)_"/>
    <w:basedOn w:val="48"/>
    <w:link w:val="137"/>
    <w:qFormat/>
    <w:uiPriority w:val="0"/>
    <w:rPr>
      <w:rFonts w:ascii="宋体" w:hAnsi="宋体" w:eastAsia="宋体" w:cs="宋体"/>
      <w:spacing w:val="30"/>
      <w:sz w:val="28"/>
      <w:szCs w:val="28"/>
      <w:u w:val="none"/>
    </w:rPr>
  </w:style>
  <w:style w:type="paragraph" w:customStyle="1" w:styleId="137">
    <w:name w:val="标题 #4 (2)"/>
    <w:basedOn w:val="1"/>
    <w:link w:val="136"/>
    <w:qFormat/>
    <w:uiPriority w:val="0"/>
    <w:pPr>
      <w:shd w:val="clear" w:color="auto" w:fill="FFFFFF"/>
      <w:spacing w:before="420" w:line="600" w:lineRule="exact"/>
      <w:outlineLvl w:val="3"/>
    </w:pPr>
    <w:rPr>
      <w:rFonts w:ascii="宋体" w:hAnsi="宋体" w:eastAsia="宋体" w:cs="宋体"/>
      <w:spacing w:val="30"/>
      <w:sz w:val="28"/>
      <w:szCs w:val="28"/>
    </w:rPr>
  </w:style>
  <w:style w:type="character" w:customStyle="1" w:styleId="138">
    <w:name w:val="正文文本 (9)_"/>
    <w:basedOn w:val="48"/>
    <w:link w:val="139"/>
    <w:qFormat/>
    <w:uiPriority w:val="0"/>
    <w:rPr>
      <w:rFonts w:ascii="宋体" w:hAnsi="宋体" w:eastAsia="宋体" w:cs="宋体"/>
      <w:spacing w:val="30"/>
      <w:sz w:val="28"/>
      <w:szCs w:val="28"/>
      <w:u w:val="none"/>
    </w:rPr>
  </w:style>
  <w:style w:type="paragraph" w:customStyle="1" w:styleId="139">
    <w:name w:val="正文文本 (9)"/>
    <w:basedOn w:val="1"/>
    <w:link w:val="138"/>
    <w:qFormat/>
    <w:uiPriority w:val="0"/>
    <w:pPr>
      <w:shd w:val="clear" w:color="auto" w:fill="FFFFFF"/>
      <w:spacing w:line="562" w:lineRule="exact"/>
    </w:pPr>
    <w:rPr>
      <w:rFonts w:ascii="宋体" w:hAnsi="宋体" w:eastAsia="宋体" w:cs="宋体"/>
      <w:spacing w:val="30"/>
      <w:sz w:val="28"/>
      <w:szCs w:val="28"/>
    </w:rPr>
  </w:style>
  <w:style w:type="character" w:customStyle="1" w:styleId="140">
    <w:name w:val="正文文本 (8) + 13 pt1"/>
    <w:basedOn w:val="122"/>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41">
    <w:name w:val="标题 #31"/>
    <w:basedOn w:val="80"/>
    <w:qFormat/>
    <w:uiPriority w:val="0"/>
    <w:rPr>
      <w:rFonts w:ascii="宋体" w:hAnsi="宋体" w:eastAsia="宋体" w:cs="宋体"/>
      <w:color w:val="000000"/>
      <w:spacing w:val="0"/>
      <w:w w:val="100"/>
      <w:position w:val="0"/>
      <w:sz w:val="32"/>
      <w:szCs w:val="32"/>
      <w:u w:val="none"/>
      <w:lang w:val="zh-TW" w:eastAsia="zh-TW" w:bidi="zh-TW"/>
    </w:rPr>
  </w:style>
  <w:style w:type="character" w:customStyle="1" w:styleId="142">
    <w:name w:val="标题 #4 (3)_"/>
    <w:basedOn w:val="48"/>
    <w:link w:val="143"/>
    <w:qFormat/>
    <w:uiPriority w:val="0"/>
    <w:rPr>
      <w:rFonts w:ascii="宋体" w:hAnsi="宋体" w:eastAsia="宋体" w:cs="宋体"/>
      <w:spacing w:val="0"/>
      <w:sz w:val="32"/>
      <w:szCs w:val="32"/>
      <w:u w:val="none"/>
    </w:rPr>
  </w:style>
  <w:style w:type="paragraph" w:customStyle="1" w:styleId="143">
    <w:name w:val="标题 #4 (3)"/>
    <w:basedOn w:val="1"/>
    <w:link w:val="142"/>
    <w:qFormat/>
    <w:uiPriority w:val="0"/>
    <w:pPr>
      <w:shd w:val="clear" w:color="auto" w:fill="FFFFFF"/>
      <w:spacing w:line="754" w:lineRule="exact"/>
      <w:jc w:val="center"/>
      <w:outlineLvl w:val="3"/>
    </w:pPr>
    <w:rPr>
      <w:rFonts w:ascii="宋体" w:hAnsi="宋体" w:eastAsia="宋体" w:cs="宋体"/>
      <w:sz w:val="32"/>
      <w:szCs w:val="32"/>
    </w:rPr>
  </w:style>
  <w:style w:type="character" w:customStyle="1" w:styleId="144">
    <w:name w:val="正文文本 (7) + 间距 0 pt"/>
    <w:basedOn w:val="111"/>
    <w:qFormat/>
    <w:uiPriority w:val="0"/>
    <w:rPr>
      <w:rFonts w:ascii="宋体" w:hAnsi="宋体" w:eastAsia="宋体" w:cs="宋体"/>
      <w:color w:val="000000"/>
      <w:spacing w:val="-10"/>
      <w:w w:val="100"/>
      <w:position w:val="0"/>
      <w:sz w:val="24"/>
      <w:szCs w:val="24"/>
      <w:u w:val="none"/>
      <w:lang w:val="zh-TW" w:eastAsia="zh-TW" w:bidi="zh-TW"/>
    </w:rPr>
  </w:style>
  <w:style w:type="character" w:customStyle="1" w:styleId="145">
    <w:name w:val="正文文本 (8) + 10.5 pt"/>
    <w:basedOn w:val="122"/>
    <w:qFormat/>
    <w:uiPriority w:val="0"/>
    <w:rPr>
      <w:rFonts w:ascii="宋体" w:hAnsi="宋体" w:eastAsia="宋体" w:cs="宋体"/>
      <w:color w:val="000000"/>
      <w:spacing w:val="0"/>
      <w:w w:val="100"/>
      <w:position w:val="0"/>
      <w:sz w:val="21"/>
      <w:szCs w:val="21"/>
      <w:u w:val="none"/>
      <w:lang w:val="zh-TW" w:eastAsia="zh-TW" w:bidi="zh-TW"/>
    </w:rPr>
  </w:style>
  <w:style w:type="character" w:customStyle="1" w:styleId="146">
    <w:name w:val="正文文本 (8) + Constantia"/>
    <w:basedOn w:val="122"/>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47">
    <w:name w:val="正文文本 (8) + 10 pt"/>
    <w:basedOn w:val="122"/>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48">
    <w:name w:val="表格标题 (2) + 间距 0 pt"/>
    <w:basedOn w:val="96"/>
    <w:qFormat/>
    <w:uiPriority w:val="0"/>
    <w:rPr>
      <w:rFonts w:ascii="宋体" w:hAnsi="宋体" w:eastAsia="宋体" w:cs="宋体"/>
      <w:color w:val="000000"/>
      <w:spacing w:val="-10"/>
      <w:w w:val="100"/>
      <w:position w:val="0"/>
      <w:sz w:val="24"/>
      <w:szCs w:val="24"/>
      <w:u w:val="none"/>
      <w:lang w:val="zh-TW" w:eastAsia="zh-TW" w:bidi="zh-TW"/>
    </w:rPr>
  </w:style>
  <w:style w:type="character" w:customStyle="1" w:styleId="149">
    <w:name w:val="正文文本 (5)1"/>
    <w:basedOn w:val="76"/>
    <w:qFormat/>
    <w:uiPriority w:val="0"/>
    <w:rPr>
      <w:rFonts w:ascii="宋体" w:hAnsi="宋体" w:eastAsia="宋体" w:cs="宋体"/>
      <w:color w:val="000000"/>
      <w:spacing w:val="0"/>
      <w:w w:val="100"/>
      <w:position w:val="0"/>
      <w:sz w:val="32"/>
      <w:szCs w:val="32"/>
      <w:u w:val="none"/>
      <w:lang w:val="zh-TW" w:eastAsia="zh-TW" w:bidi="zh-TW"/>
    </w:rPr>
  </w:style>
  <w:style w:type="character" w:customStyle="1" w:styleId="150">
    <w:name w:val="正文文本 (8) + Arial Narrow"/>
    <w:basedOn w:val="122"/>
    <w:qFormat/>
    <w:uiPriority w:val="0"/>
    <w:rPr>
      <w:rFonts w:ascii="Arial Narrow" w:hAnsi="Arial Narrow" w:eastAsia="Arial Narrow" w:cs="Arial Narrow"/>
      <w:color w:val="000000"/>
      <w:spacing w:val="0"/>
      <w:w w:val="100"/>
      <w:position w:val="0"/>
      <w:sz w:val="18"/>
      <w:szCs w:val="18"/>
      <w:u w:val="none"/>
      <w:lang w:val="en-US" w:eastAsia="en-US" w:bidi="en-US"/>
    </w:rPr>
  </w:style>
  <w:style w:type="character" w:customStyle="1" w:styleId="151">
    <w:name w:val="正文文本 (8) + Constantia1"/>
    <w:basedOn w:val="122"/>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52">
    <w:name w:val="正文文本 (8) + 10 pt1"/>
    <w:basedOn w:val="122"/>
    <w:qFormat/>
    <w:uiPriority w:val="0"/>
    <w:rPr>
      <w:rFonts w:ascii="宋体" w:hAnsi="宋体" w:eastAsia="宋体" w:cs="宋体"/>
      <w:color w:val="000000"/>
      <w:spacing w:val="80"/>
      <w:w w:val="100"/>
      <w:position w:val="0"/>
      <w:sz w:val="20"/>
      <w:szCs w:val="20"/>
      <w:u w:val="none"/>
      <w:lang w:val="zh-TW" w:eastAsia="zh-TW" w:bidi="zh-TW"/>
    </w:rPr>
  </w:style>
  <w:style w:type="character" w:customStyle="1" w:styleId="153">
    <w:name w:val="正文文本 (8) + 10 pt2"/>
    <w:basedOn w:val="122"/>
    <w:qFormat/>
    <w:uiPriority w:val="0"/>
    <w:rPr>
      <w:rFonts w:ascii="宋体" w:hAnsi="宋体" w:eastAsia="宋体" w:cs="宋体"/>
      <w:color w:val="000000"/>
      <w:spacing w:val="-20"/>
      <w:w w:val="100"/>
      <w:position w:val="0"/>
      <w:sz w:val="20"/>
      <w:szCs w:val="20"/>
      <w:u w:val="none"/>
      <w:lang w:val="zh-TW" w:eastAsia="zh-TW" w:bidi="zh-TW"/>
    </w:rPr>
  </w:style>
  <w:style w:type="character" w:customStyle="1" w:styleId="154">
    <w:name w:val="正文文本 (8) + 4 pt"/>
    <w:basedOn w:val="122"/>
    <w:qFormat/>
    <w:uiPriority w:val="0"/>
    <w:rPr>
      <w:rFonts w:ascii="宋体" w:hAnsi="宋体" w:eastAsia="宋体" w:cs="宋体"/>
      <w:color w:val="000000"/>
      <w:spacing w:val="0"/>
      <w:w w:val="100"/>
      <w:position w:val="0"/>
      <w:sz w:val="8"/>
      <w:szCs w:val="8"/>
      <w:u w:val="none"/>
      <w:lang w:val="zh-TW" w:eastAsia="zh-TW" w:bidi="zh-TW"/>
    </w:rPr>
  </w:style>
  <w:style w:type="character" w:customStyle="1" w:styleId="155">
    <w:name w:val="正文文本 (6) + 间距 -1 pt"/>
    <w:basedOn w:val="92"/>
    <w:qFormat/>
    <w:uiPriority w:val="0"/>
    <w:rPr>
      <w:rFonts w:ascii="宋体" w:hAnsi="宋体" w:eastAsia="宋体" w:cs="宋体"/>
      <w:color w:val="000000"/>
      <w:spacing w:val="-20"/>
      <w:w w:val="100"/>
      <w:position w:val="0"/>
      <w:sz w:val="20"/>
      <w:szCs w:val="20"/>
      <w:u w:val="none"/>
      <w:lang w:val="zh-TW" w:eastAsia="zh-TW" w:bidi="zh-TW"/>
    </w:rPr>
  </w:style>
  <w:style w:type="character" w:customStyle="1" w:styleId="156">
    <w:name w:val="正文文本 (6) + Constantia1"/>
    <w:basedOn w:val="92"/>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57">
    <w:name w:val="正文文本 (8) + 10 pt3"/>
    <w:basedOn w:val="122"/>
    <w:qFormat/>
    <w:uiPriority w:val="0"/>
    <w:rPr>
      <w:rFonts w:ascii="宋体" w:hAnsi="宋体" w:eastAsia="宋体" w:cs="宋体"/>
      <w:color w:val="000000"/>
      <w:spacing w:val="-40"/>
      <w:w w:val="100"/>
      <w:position w:val="0"/>
      <w:sz w:val="20"/>
      <w:szCs w:val="20"/>
      <w:u w:val="none"/>
      <w:lang w:val="en-US" w:eastAsia="en-US" w:bidi="en-US"/>
    </w:rPr>
  </w:style>
  <w:style w:type="character" w:customStyle="1" w:styleId="158">
    <w:name w:val="正文文本 (6) + 间距 -2 pt"/>
    <w:basedOn w:val="92"/>
    <w:qFormat/>
    <w:uiPriority w:val="0"/>
    <w:rPr>
      <w:rFonts w:ascii="宋体" w:hAnsi="宋体" w:eastAsia="宋体" w:cs="宋体"/>
      <w:color w:val="000000"/>
      <w:spacing w:val="-40"/>
      <w:w w:val="100"/>
      <w:position w:val="0"/>
      <w:sz w:val="20"/>
      <w:szCs w:val="20"/>
      <w:u w:val="none"/>
      <w:lang w:val="zh-TW" w:eastAsia="zh-TW" w:bidi="zh-TW"/>
    </w:rPr>
  </w:style>
  <w:style w:type="character" w:customStyle="1" w:styleId="159">
    <w:name w:val="正文文本 (6) + Constantia2"/>
    <w:basedOn w:val="92"/>
    <w:qFormat/>
    <w:uiPriority w:val="0"/>
    <w:rPr>
      <w:rFonts w:ascii="Constantia" w:hAnsi="Constantia" w:eastAsia="Constantia" w:cs="Constantia"/>
      <w:smallCaps/>
      <w:color w:val="000000"/>
      <w:spacing w:val="0"/>
      <w:w w:val="100"/>
      <w:position w:val="0"/>
      <w:sz w:val="20"/>
      <w:szCs w:val="20"/>
      <w:u w:val="none"/>
      <w:lang w:val="en-US" w:eastAsia="en-US" w:bidi="en-US"/>
    </w:rPr>
  </w:style>
  <w:style w:type="character" w:customStyle="1" w:styleId="160">
    <w:name w:val="正文文本 (8) + Constantia2"/>
    <w:basedOn w:val="122"/>
    <w:qFormat/>
    <w:uiPriority w:val="0"/>
    <w:rPr>
      <w:rFonts w:ascii="Constantia" w:hAnsi="Constantia" w:eastAsia="Constantia" w:cs="Constantia"/>
      <w:smallCaps/>
      <w:color w:val="000000"/>
      <w:spacing w:val="0"/>
      <w:w w:val="100"/>
      <w:position w:val="0"/>
      <w:sz w:val="20"/>
      <w:szCs w:val="20"/>
      <w:u w:val="none"/>
      <w:lang w:val="en-US" w:eastAsia="en-US" w:bidi="en-US"/>
    </w:rPr>
  </w:style>
  <w:style w:type="character" w:customStyle="1" w:styleId="161">
    <w:name w:val="其他_"/>
    <w:basedOn w:val="48"/>
    <w:link w:val="162"/>
    <w:qFormat/>
    <w:uiPriority w:val="0"/>
    <w:rPr>
      <w:rFonts w:ascii="Times New Roman" w:hAnsi="Times New Roman" w:eastAsia="Times New Roman" w:cs="Times New Roman"/>
      <w:sz w:val="20"/>
      <w:szCs w:val="20"/>
      <w:u w:val="none"/>
    </w:rPr>
  </w:style>
  <w:style w:type="paragraph" w:customStyle="1" w:styleId="162">
    <w:name w:val="其他"/>
    <w:basedOn w:val="1"/>
    <w:link w:val="161"/>
    <w:qFormat/>
    <w:uiPriority w:val="0"/>
    <w:pPr>
      <w:shd w:val="clear" w:color="auto" w:fill="FFFFFF"/>
    </w:pPr>
    <w:rPr>
      <w:rFonts w:ascii="Times New Roman" w:hAnsi="Times New Roman" w:eastAsia="Times New Roman" w:cs="Times New Roman"/>
      <w:sz w:val="20"/>
      <w:szCs w:val="20"/>
    </w:rPr>
  </w:style>
  <w:style w:type="character" w:customStyle="1" w:styleId="163">
    <w:name w:val="其他 + SimSun"/>
    <w:basedOn w:val="161"/>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64">
    <w:name w:val="正文文本 (7) + 间距 0 pt1"/>
    <w:basedOn w:val="111"/>
    <w:qFormat/>
    <w:uiPriority w:val="0"/>
    <w:rPr>
      <w:rFonts w:ascii="宋体" w:hAnsi="宋体" w:eastAsia="宋体" w:cs="宋体"/>
      <w:b/>
      <w:bCs/>
      <w:color w:val="000000"/>
      <w:spacing w:val="-10"/>
      <w:w w:val="100"/>
      <w:position w:val="0"/>
      <w:sz w:val="24"/>
      <w:szCs w:val="24"/>
      <w:u w:val="none"/>
      <w:lang w:val="en-US" w:eastAsia="en-US" w:bidi="en-US"/>
    </w:rPr>
  </w:style>
  <w:style w:type="character" w:customStyle="1" w:styleId="165">
    <w:name w:val="正文文本 (8) + 10.5 pt1"/>
    <w:basedOn w:val="122"/>
    <w:qFormat/>
    <w:uiPriority w:val="0"/>
    <w:rPr>
      <w:rFonts w:ascii="宋体" w:hAnsi="宋体" w:eastAsia="宋体" w:cs="宋体"/>
      <w:color w:val="000000"/>
      <w:spacing w:val="0"/>
      <w:w w:val="100"/>
      <w:position w:val="0"/>
      <w:sz w:val="21"/>
      <w:szCs w:val="21"/>
      <w:u w:val="none"/>
      <w:lang w:val="en-US" w:eastAsia="en-US" w:bidi="en-US"/>
    </w:rPr>
  </w:style>
  <w:style w:type="character" w:customStyle="1" w:styleId="166">
    <w:name w:val="正文文本 (8) + Constantia3"/>
    <w:basedOn w:val="122"/>
    <w:qFormat/>
    <w:uiPriority w:val="0"/>
    <w:rPr>
      <w:rFonts w:ascii="Constantia" w:hAnsi="Constantia" w:eastAsia="Constantia" w:cs="Constantia"/>
      <w:smallCaps/>
      <w:color w:val="000000"/>
      <w:spacing w:val="0"/>
      <w:w w:val="100"/>
      <w:position w:val="0"/>
      <w:sz w:val="20"/>
      <w:szCs w:val="20"/>
      <w:u w:val="none"/>
      <w:lang w:val="en-US" w:eastAsia="en-US" w:bidi="en-US"/>
    </w:rPr>
  </w:style>
  <w:style w:type="character" w:customStyle="1" w:styleId="167">
    <w:name w:val="标题 #4 + 13 pt"/>
    <w:basedOn w:val="89"/>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68">
    <w:name w:val="正文文本 (8) + 10 pt4"/>
    <w:basedOn w:val="122"/>
    <w:qFormat/>
    <w:uiPriority w:val="0"/>
    <w:rPr>
      <w:rFonts w:ascii="宋体" w:hAnsi="宋体" w:eastAsia="宋体" w:cs="宋体"/>
      <w:color w:val="000000"/>
      <w:spacing w:val="450"/>
      <w:w w:val="100"/>
      <w:position w:val="0"/>
      <w:sz w:val="20"/>
      <w:szCs w:val="20"/>
      <w:u w:val="none"/>
      <w:lang w:val="zh-TW" w:eastAsia="zh-TW" w:bidi="zh-TW"/>
    </w:rPr>
  </w:style>
  <w:style w:type="character" w:customStyle="1" w:styleId="169">
    <w:name w:val="正文文本 (8) + 10 pt5"/>
    <w:basedOn w:val="122"/>
    <w:qFormat/>
    <w:uiPriority w:val="0"/>
    <w:rPr>
      <w:rFonts w:ascii="宋体" w:hAnsi="宋体" w:eastAsia="宋体" w:cs="宋体"/>
      <w:color w:val="000000"/>
      <w:spacing w:val="90"/>
      <w:w w:val="100"/>
      <w:position w:val="0"/>
      <w:sz w:val="20"/>
      <w:szCs w:val="20"/>
      <w:u w:val="none"/>
      <w:lang w:val="zh-TW" w:eastAsia="zh-TW" w:bidi="zh-TW"/>
    </w:rPr>
  </w:style>
  <w:style w:type="character" w:customStyle="1" w:styleId="170">
    <w:name w:val="正文文本 (8) + 10 pt6"/>
    <w:basedOn w:val="122"/>
    <w:qFormat/>
    <w:uiPriority w:val="0"/>
    <w:rPr>
      <w:rFonts w:ascii="宋体" w:hAnsi="宋体" w:eastAsia="宋体" w:cs="宋体"/>
      <w:color w:val="000000"/>
      <w:spacing w:val="30"/>
      <w:w w:val="100"/>
      <w:position w:val="0"/>
      <w:sz w:val="20"/>
      <w:szCs w:val="20"/>
      <w:u w:val="none"/>
      <w:lang w:val="zh-TW" w:eastAsia="zh-TW" w:bidi="zh-TW"/>
    </w:rPr>
  </w:style>
  <w:style w:type="character" w:customStyle="1" w:styleId="171">
    <w:name w:val="正文文本 (8) + Constantia4"/>
    <w:basedOn w:val="122"/>
    <w:qFormat/>
    <w:uiPriority w:val="0"/>
    <w:rPr>
      <w:rFonts w:ascii="Constantia" w:hAnsi="Constantia" w:eastAsia="Constantia" w:cs="Constantia"/>
      <w:color w:val="000000"/>
      <w:spacing w:val="10"/>
      <w:w w:val="100"/>
      <w:position w:val="0"/>
      <w:sz w:val="20"/>
      <w:szCs w:val="20"/>
      <w:u w:val="none"/>
      <w:lang w:val="en-US" w:eastAsia="en-US" w:bidi="en-US"/>
    </w:rPr>
  </w:style>
  <w:style w:type="character" w:customStyle="1" w:styleId="172">
    <w:name w:val="正文文本 (6) + Constantia3"/>
    <w:basedOn w:val="92"/>
    <w:qFormat/>
    <w:uiPriority w:val="0"/>
    <w:rPr>
      <w:rFonts w:ascii="Constantia" w:hAnsi="Constantia" w:eastAsia="Constantia" w:cs="Constantia"/>
      <w:color w:val="000000"/>
      <w:spacing w:val="10"/>
      <w:w w:val="100"/>
      <w:position w:val="0"/>
      <w:sz w:val="20"/>
      <w:szCs w:val="20"/>
      <w:u w:val="none"/>
      <w:lang w:val="en-US" w:eastAsia="en-US" w:bidi="en-US"/>
    </w:rPr>
  </w:style>
  <w:style w:type="character" w:customStyle="1" w:styleId="173">
    <w:name w:val="正文文本 (8) + 10 pt7"/>
    <w:basedOn w:val="122"/>
    <w:qFormat/>
    <w:uiPriority w:val="0"/>
    <w:rPr>
      <w:rFonts w:ascii="宋体" w:hAnsi="宋体" w:eastAsia="宋体" w:cs="宋体"/>
      <w:color w:val="000000"/>
      <w:spacing w:val="40"/>
      <w:w w:val="100"/>
      <w:position w:val="0"/>
      <w:sz w:val="20"/>
      <w:szCs w:val="20"/>
      <w:u w:val="none"/>
      <w:lang w:val="zh-TW" w:eastAsia="zh-TW" w:bidi="zh-TW"/>
    </w:rPr>
  </w:style>
  <w:style w:type="character" w:customStyle="1" w:styleId="174">
    <w:name w:val="正文文本 (8) + 10 pt8"/>
    <w:basedOn w:val="122"/>
    <w:qFormat/>
    <w:uiPriority w:val="0"/>
    <w:rPr>
      <w:rFonts w:ascii="宋体" w:hAnsi="宋体" w:eastAsia="宋体" w:cs="宋体"/>
      <w:color w:val="000000"/>
      <w:spacing w:val="100"/>
      <w:w w:val="100"/>
      <w:position w:val="0"/>
      <w:sz w:val="20"/>
      <w:szCs w:val="20"/>
      <w:u w:val="none"/>
      <w:lang w:val="zh-TW" w:eastAsia="zh-TW" w:bidi="zh-TW"/>
    </w:rPr>
  </w:style>
  <w:style w:type="character" w:customStyle="1" w:styleId="175">
    <w:name w:val="表格标题 (3) + 13 pt"/>
    <w:basedOn w:val="104"/>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76">
    <w:name w:val="图片标题_"/>
    <w:basedOn w:val="48"/>
    <w:link w:val="177"/>
    <w:qFormat/>
    <w:uiPriority w:val="0"/>
    <w:rPr>
      <w:rFonts w:ascii="宋体" w:hAnsi="宋体" w:eastAsia="宋体" w:cs="宋体"/>
      <w:spacing w:val="-10"/>
      <w:u w:val="none"/>
    </w:rPr>
  </w:style>
  <w:style w:type="paragraph" w:customStyle="1" w:styleId="177">
    <w:name w:val="图片标题"/>
    <w:basedOn w:val="1"/>
    <w:link w:val="176"/>
    <w:qFormat/>
    <w:uiPriority w:val="0"/>
    <w:pPr>
      <w:shd w:val="clear" w:color="auto" w:fill="FFFFFF"/>
      <w:spacing w:line="0" w:lineRule="atLeast"/>
      <w:jc w:val="distribute"/>
    </w:pPr>
    <w:rPr>
      <w:rFonts w:ascii="宋体" w:hAnsi="宋体" w:eastAsia="宋体" w:cs="宋体"/>
      <w:spacing w:val="-10"/>
    </w:rPr>
  </w:style>
  <w:style w:type="character" w:customStyle="1" w:styleId="178">
    <w:name w:val="正文文本 (8) + Constantia5"/>
    <w:basedOn w:val="122"/>
    <w:qFormat/>
    <w:uiPriority w:val="0"/>
    <w:rPr>
      <w:rFonts w:ascii="Constantia" w:hAnsi="Constantia" w:eastAsia="Constantia" w:cs="Constantia"/>
      <w:smallCaps/>
      <w:color w:val="000000"/>
      <w:spacing w:val="10"/>
      <w:w w:val="100"/>
      <w:position w:val="0"/>
      <w:sz w:val="20"/>
      <w:szCs w:val="20"/>
      <w:u w:val="none"/>
      <w:lang w:val="en-US" w:eastAsia="en-US" w:bidi="en-US"/>
    </w:rPr>
  </w:style>
  <w:style w:type="character" w:customStyle="1" w:styleId="179">
    <w:name w:val="正文文本 (8) + 间距 -2 pt"/>
    <w:basedOn w:val="122"/>
    <w:qFormat/>
    <w:uiPriority w:val="0"/>
    <w:rPr>
      <w:rFonts w:ascii="宋体" w:hAnsi="宋体" w:eastAsia="宋体" w:cs="宋体"/>
      <w:color w:val="000000"/>
      <w:spacing w:val="-50"/>
      <w:w w:val="100"/>
      <w:position w:val="0"/>
      <w:sz w:val="28"/>
      <w:szCs w:val="28"/>
      <w:u w:val="none"/>
      <w:lang w:val="en-US" w:eastAsia="en-US" w:bidi="en-US"/>
    </w:rPr>
  </w:style>
  <w:style w:type="character" w:customStyle="1" w:styleId="180">
    <w:name w:val="正文文本 (8) + 13 pt2"/>
    <w:basedOn w:val="122"/>
    <w:qFormat/>
    <w:uiPriority w:val="0"/>
    <w:rPr>
      <w:rFonts w:ascii="宋体" w:hAnsi="宋体" w:eastAsia="宋体" w:cs="宋体"/>
      <w:smallCaps/>
      <w:color w:val="000000"/>
      <w:spacing w:val="0"/>
      <w:w w:val="100"/>
      <w:position w:val="0"/>
      <w:sz w:val="26"/>
      <w:szCs w:val="26"/>
      <w:u w:val="none"/>
      <w:lang w:val="en-US" w:eastAsia="en-US" w:bidi="en-US"/>
    </w:rPr>
  </w:style>
  <w:style w:type="character" w:customStyle="1" w:styleId="181">
    <w:name w:val="正文文本 (10)_"/>
    <w:basedOn w:val="48"/>
    <w:link w:val="182"/>
    <w:qFormat/>
    <w:uiPriority w:val="0"/>
    <w:rPr>
      <w:rFonts w:ascii="宋体" w:hAnsi="宋体" w:eastAsia="宋体" w:cs="宋体"/>
      <w:w w:val="100"/>
      <w:sz w:val="26"/>
      <w:szCs w:val="26"/>
      <w:u w:val="none"/>
      <w:lang w:val="en-US" w:eastAsia="en-US" w:bidi="en-US"/>
    </w:rPr>
  </w:style>
  <w:style w:type="paragraph" w:customStyle="1" w:styleId="182">
    <w:name w:val="正文文本 (10)"/>
    <w:basedOn w:val="1"/>
    <w:link w:val="181"/>
    <w:qFormat/>
    <w:uiPriority w:val="0"/>
    <w:pPr>
      <w:shd w:val="clear" w:color="auto" w:fill="FFFFFF"/>
      <w:spacing w:line="600" w:lineRule="exact"/>
      <w:ind w:hanging="620"/>
      <w:jc w:val="both"/>
    </w:pPr>
    <w:rPr>
      <w:rFonts w:ascii="宋体" w:hAnsi="宋体" w:eastAsia="宋体" w:cs="宋体"/>
      <w:sz w:val="26"/>
      <w:szCs w:val="26"/>
      <w:lang w:val="en-US" w:eastAsia="en-US" w:bidi="en-US"/>
    </w:rPr>
  </w:style>
  <w:style w:type="character" w:customStyle="1" w:styleId="183">
    <w:name w:val="正文文本 (10) + 14 pt"/>
    <w:basedOn w:val="181"/>
    <w:qFormat/>
    <w:uiPriority w:val="0"/>
    <w:rPr>
      <w:rFonts w:ascii="宋体" w:hAnsi="宋体" w:eastAsia="宋体" w:cs="宋体"/>
      <w:b/>
      <w:bCs/>
      <w:color w:val="000000"/>
      <w:spacing w:val="-50"/>
      <w:w w:val="100"/>
      <w:position w:val="0"/>
      <w:sz w:val="28"/>
      <w:szCs w:val="28"/>
      <w:u w:val="none"/>
      <w:lang w:val="en-US" w:eastAsia="en-US" w:bidi="en-US"/>
    </w:rPr>
  </w:style>
  <w:style w:type="character" w:customStyle="1" w:styleId="184">
    <w:name w:val="正文文本 (10) + 14 pt1"/>
    <w:basedOn w:val="181"/>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185">
    <w:name w:val="目录 (3)_"/>
    <w:basedOn w:val="48"/>
    <w:link w:val="186"/>
    <w:qFormat/>
    <w:uiPriority w:val="0"/>
    <w:rPr>
      <w:rFonts w:ascii="宋体" w:hAnsi="宋体" w:eastAsia="宋体" w:cs="宋体"/>
      <w:w w:val="100"/>
      <w:sz w:val="26"/>
      <w:szCs w:val="26"/>
      <w:u w:val="none"/>
      <w:lang w:val="en-US" w:eastAsia="en-US" w:bidi="en-US"/>
    </w:rPr>
  </w:style>
  <w:style w:type="paragraph" w:customStyle="1" w:styleId="186">
    <w:name w:val="目录 (3)"/>
    <w:basedOn w:val="1"/>
    <w:link w:val="185"/>
    <w:qFormat/>
    <w:uiPriority w:val="0"/>
    <w:pPr>
      <w:shd w:val="clear" w:color="auto" w:fill="FFFFFF"/>
      <w:spacing w:line="600" w:lineRule="exact"/>
      <w:jc w:val="both"/>
    </w:pPr>
    <w:rPr>
      <w:rFonts w:ascii="宋体" w:hAnsi="宋体" w:eastAsia="宋体" w:cs="宋体"/>
      <w:sz w:val="26"/>
      <w:szCs w:val="26"/>
      <w:lang w:val="en-US" w:eastAsia="en-US" w:bidi="en-US"/>
    </w:rPr>
  </w:style>
  <w:style w:type="character" w:customStyle="1" w:styleId="187">
    <w:name w:val="目录 (3) + 14 pt"/>
    <w:basedOn w:val="185"/>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188">
    <w:name w:val="目录 (4)_"/>
    <w:basedOn w:val="48"/>
    <w:link w:val="189"/>
    <w:qFormat/>
    <w:uiPriority w:val="0"/>
    <w:rPr>
      <w:rFonts w:ascii="Lucida Sans Unicode" w:hAnsi="Lucida Sans Unicode" w:eastAsia="Lucida Sans Unicode" w:cs="Lucida Sans Unicode"/>
      <w:spacing w:val="60"/>
      <w:sz w:val="15"/>
      <w:szCs w:val="15"/>
      <w:u w:val="none"/>
      <w:lang w:val="en-US" w:eastAsia="en-US" w:bidi="en-US"/>
    </w:rPr>
  </w:style>
  <w:style w:type="paragraph" w:customStyle="1" w:styleId="189">
    <w:name w:val="目录 (4)"/>
    <w:basedOn w:val="1"/>
    <w:link w:val="188"/>
    <w:qFormat/>
    <w:uiPriority w:val="0"/>
    <w:pPr>
      <w:shd w:val="clear" w:color="auto" w:fill="FFFFFF"/>
      <w:spacing w:line="0" w:lineRule="atLeast"/>
      <w:jc w:val="both"/>
    </w:pPr>
    <w:rPr>
      <w:rFonts w:ascii="Lucida Sans Unicode" w:hAnsi="Lucida Sans Unicode" w:eastAsia="Lucida Sans Unicode" w:cs="Lucida Sans Unicode"/>
      <w:spacing w:val="60"/>
      <w:sz w:val="15"/>
      <w:szCs w:val="15"/>
      <w:lang w:val="en-US" w:eastAsia="en-US" w:bidi="en-US"/>
    </w:rPr>
  </w:style>
  <w:style w:type="character" w:customStyle="1" w:styleId="190">
    <w:name w:val="目录 (4) + 斜体"/>
    <w:basedOn w:val="188"/>
    <w:qFormat/>
    <w:uiPriority w:val="0"/>
    <w:rPr>
      <w:rFonts w:ascii="Lucida Sans Unicode" w:hAnsi="Lucida Sans Unicode" w:eastAsia="Lucida Sans Unicode" w:cs="Lucida Sans Unicode"/>
      <w:i/>
      <w:iCs/>
      <w:color w:val="000000"/>
      <w:spacing w:val="70"/>
      <w:w w:val="100"/>
      <w:position w:val="0"/>
      <w:sz w:val="15"/>
      <w:szCs w:val="15"/>
      <w:u w:val="none"/>
      <w:lang w:val="en-US" w:eastAsia="en-US" w:bidi="en-US"/>
    </w:rPr>
  </w:style>
  <w:style w:type="character" w:customStyle="1" w:styleId="191">
    <w:name w:val="目录 (4) + 间距 4 pt"/>
    <w:basedOn w:val="188"/>
    <w:qFormat/>
    <w:uiPriority w:val="0"/>
    <w:rPr>
      <w:rFonts w:ascii="Lucida Sans Unicode" w:hAnsi="Lucida Sans Unicode" w:eastAsia="Lucida Sans Unicode" w:cs="Lucida Sans Unicode"/>
      <w:color w:val="000000"/>
      <w:spacing w:val="80"/>
      <w:w w:val="100"/>
      <w:position w:val="0"/>
      <w:sz w:val="15"/>
      <w:szCs w:val="15"/>
      <w:u w:val="none"/>
      <w:lang w:val="en-US" w:eastAsia="en-US" w:bidi="en-US"/>
    </w:rPr>
  </w:style>
  <w:style w:type="character" w:customStyle="1" w:styleId="192">
    <w:name w:val="目录 (4) + Arial Narrow"/>
    <w:basedOn w:val="188"/>
    <w:qFormat/>
    <w:uiPriority w:val="0"/>
    <w:rPr>
      <w:rFonts w:ascii="Arial Narrow" w:hAnsi="Arial Narrow" w:eastAsia="Arial Narrow" w:cs="Arial Narrow"/>
      <w:color w:val="000000"/>
      <w:spacing w:val="0"/>
      <w:w w:val="100"/>
      <w:position w:val="0"/>
      <w:sz w:val="10"/>
      <w:szCs w:val="10"/>
      <w:u w:val="none"/>
      <w:lang w:val="en-US" w:eastAsia="en-US" w:bidi="en-US"/>
    </w:rPr>
  </w:style>
  <w:style w:type="character" w:customStyle="1" w:styleId="193">
    <w:name w:val="目录 + 13 pt"/>
    <w:basedOn w:val="83"/>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94">
    <w:name w:val="目录 (5)_"/>
    <w:basedOn w:val="48"/>
    <w:link w:val="195"/>
    <w:qFormat/>
    <w:uiPriority w:val="0"/>
    <w:rPr>
      <w:rFonts w:ascii="Lucida Sans Unicode" w:hAnsi="Lucida Sans Unicode" w:eastAsia="Lucida Sans Unicode" w:cs="Lucida Sans Unicode"/>
      <w:sz w:val="15"/>
      <w:szCs w:val="15"/>
      <w:u w:val="none"/>
      <w:lang w:val="en-US" w:eastAsia="en-US" w:bidi="en-US"/>
    </w:rPr>
  </w:style>
  <w:style w:type="paragraph" w:customStyle="1" w:styleId="195">
    <w:name w:val="目录 (5)"/>
    <w:basedOn w:val="1"/>
    <w:link w:val="194"/>
    <w:qFormat/>
    <w:uiPriority w:val="0"/>
    <w:pPr>
      <w:shd w:val="clear" w:color="auto" w:fill="FFFFFF"/>
      <w:spacing w:line="0" w:lineRule="atLeast"/>
      <w:jc w:val="both"/>
    </w:pPr>
    <w:rPr>
      <w:rFonts w:ascii="Lucida Sans Unicode" w:hAnsi="Lucida Sans Unicode" w:eastAsia="Lucida Sans Unicode" w:cs="Lucida Sans Unicode"/>
      <w:sz w:val="15"/>
      <w:szCs w:val="15"/>
      <w:lang w:val="en-US" w:eastAsia="en-US" w:bidi="en-US"/>
    </w:rPr>
  </w:style>
  <w:style w:type="character" w:customStyle="1" w:styleId="196">
    <w:name w:val="目录 (5) + SimSun"/>
    <w:basedOn w:val="194"/>
    <w:qFormat/>
    <w:uiPriority w:val="0"/>
    <w:rPr>
      <w:rFonts w:ascii="宋体" w:hAnsi="宋体" w:eastAsia="宋体" w:cs="宋体"/>
      <w:b/>
      <w:bCs/>
      <w:color w:val="000000"/>
      <w:spacing w:val="0"/>
      <w:w w:val="100"/>
      <w:position w:val="0"/>
      <w:sz w:val="26"/>
      <w:szCs w:val="26"/>
      <w:u w:val="none"/>
      <w:lang w:val="en-US" w:eastAsia="en-US" w:bidi="en-US"/>
    </w:rPr>
  </w:style>
  <w:style w:type="character" w:customStyle="1" w:styleId="197">
    <w:name w:val="目录 (5) + SimSun1"/>
    <w:basedOn w:val="194"/>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198">
    <w:name w:val="目录 (5) + Arial Narrow"/>
    <w:basedOn w:val="194"/>
    <w:qFormat/>
    <w:uiPriority w:val="0"/>
    <w:rPr>
      <w:rFonts w:ascii="Arial Narrow" w:hAnsi="Arial Narrow" w:eastAsia="Arial Narrow" w:cs="Arial Narrow"/>
      <w:color w:val="000000"/>
      <w:spacing w:val="0"/>
      <w:w w:val="100"/>
      <w:position w:val="0"/>
      <w:sz w:val="10"/>
      <w:szCs w:val="10"/>
      <w:u w:val="none"/>
      <w:lang w:val="en-US" w:eastAsia="en-US" w:bidi="en-US"/>
    </w:rPr>
  </w:style>
  <w:style w:type="character" w:customStyle="1" w:styleId="199">
    <w:name w:val="目录 + Garamond"/>
    <w:basedOn w:val="83"/>
    <w:qFormat/>
    <w:uiPriority w:val="0"/>
    <w:rPr>
      <w:rFonts w:ascii="Garamond" w:hAnsi="Garamond" w:eastAsia="Garamond" w:cs="Garamond"/>
      <w:i/>
      <w:iCs/>
      <w:color w:val="000000"/>
      <w:spacing w:val="-20"/>
      <w:w w:val="100"/>
      <w:position w:val="0"/>
      <w:sz w:val="14"/>
      <w:szCs w:val="14"/>
      <w:u w:val="none"/>
      <w:lang w:val="en-US" w:eastAsia="en-US" w:bidi="en-US"/>
    </w:rPr>
  </w:style>
  <w:style w:type="character" w:customStyle="1" w:styleId="200">
    <w:name w:val="目录 + Garamond1"/>
    <w:basedOn w:val="83"/>
    <w:qFormat/>
    <w:uiPriority w:val="0"/>
    <w:rPr>
      <w:rFonts w:ascii="Garamond" w:hAnsi="Garamond" w:eastAsia="Garamond" w:cs="Garamond"/>
      <w:i/>
      <w:iCs/>
      <w:color w:val="000000"/>
      <w:spacing w:val="40"/>
      <w:w w:val="100"/>
      <w:position w:val="0"/>
      <w:sz w:val="14"/>
      <w:szCs w:val="14"/>
      <w:u w:val="none"/>
      <w:lang w:val="en-US" w:eastAsia="en-US" w:bidi="en-US"/>
    </w:rPr>
  </w:style>
  <w:style w:type="character" w:customStyle="1" w:styleId="201">
    <w:name w:val="目录 + Lucida Sans Unicode"/>
    <w:basedOn w:val="83"/>
    <w:qFormat/>
    <w:uiPriority w:val="0"/>
    <w:rPr>
      <w:rFonts w:ascii="Lucida Sans Unicode" w:hAnsi="Lucida Sans Unicode" w:eastAsia="Lucida Sans Unicode" w:cs="Lucida Sans Unicode"/>
      <w:i/>
      <w:iCs/>
      <w:color w:val="000000"/>
      <w:spacing w:val="0"/>
      <w:w w:val="100"/>
      <w:position w:val="0"/>
      <w:sz w:val="12"/>
      <w:szCs w:val="12"/>
      <w:u w:val="none"/>
      <w:lang w:val="en-US" w:eastAsia="en-US" w:bidi="en-US"/>
    </w:rPr>
  </w:style>
  <w:style w:type="character" w:customStyle="1" w:styleId="202">
    <w:name w:val="目录 + 间距 -2 pt"/>
    <w:basedOn w:val="83"/>
    <w:qFormat/>
    <w:uiPriority w:val="0"/>
    <w:rPr>
      <w:rFonts w:ascii="宋体" w:hAnsi="宋体" w:eastAsia="宋体" w:cs="宋体"/>
      <w:color w:val="000000"/>
      <w:spacing w:val="-50"/>
      <w:w w:val="100"/>
      <w:position w:val="0"/>
      <w:sz w:val="28"/>
      <w:szCs w:val="28"/>
      <w:u w:val="none"/>
      <w:lang w:val="en-US" w:eastAsia="en-US" w:bidi="en-US"/>
    </w:rPr>
  </w:style>
  <w:style w:type="character" w:customStyle="1" w:styleId="203">
    <w:name w:val="目录 (6)_"/>
    <w:basedOn w:val="48"/>
    <w:link w:val="204"/>
    <w:qFormat/>
    <w:uiPriority w:val="0"/>
    <w:rPr>
      <w:rFonts w:ascii="宋体" w:hAnsi="宋体" w:eastAsia="宋体" w:cs="宋体"/>
      <w:sz w:val="8"/>
      <w:szCs w:val="8"/>
      <w:u w:val="none"/>
      <w:lang w:val="en-US" w:eastAsia="en-US" w:bidi="en-US"/>
    </w:rPr>
  </w:style>
  <w:style w:type="paragraph" w:customStyle="1" w:styleId="204">
    <w:name w:val="目录 (6)"/>
    <w:basedOn w:val="1"/>
    <w:link w:val="203"/>
    <w:qFormat/>
    <w:uiPriority w:val="0"/>
    <w:pPr>
      <w:shd w:val="clear" w:color="auto" w:fill="FFFFFF"/>
      <w:spacing w:before="300" w:line="0" w:lineRule="atLeast"/>
      <w:jc w:val="both"/>
    </w:pPr>
    <w:rPr>
      <w:rFonts w:ascii="宋体" w:hAnsi="宋体" w:eastAsia="宋体" w:cs="宋体"/>
      <w:sz w:val="8"/>
      <w:szCs w:val="8"/>
      <w:lang w:val="en-US" w:eastAsia="en-US" w:bidi="en-US"/>
    </w:rPr>
  </w:style>
  <w:style w:type="character" w:customStyle="1" w:styleId="205">
    <w:name w:val="目录 (6) + Arial Narrow"/>
    <w:basedOn w:val="203"/>
    <w:qFormat/>
    <w:uiPriority w:val="0"/>
    <w:rPr>
      <w:rFonts w:ascii="Arial Narrow" w:hAnsi="Arial Narrow" w:eastAsia="Arial Narrow" w:cs="Arial Narrow"/>
      <w:color w:val="000000"/>
      <w:spacing w:val="0"/>
      <w:w w:val="100"/>
      <w:position w:val="0"/>
      <w:sz w:val="20"/>
      <w:szCs w:val="20"/>
      <w:u w:val="none"/>
      <w:lang w:val="en-US" w:eastAsia="en-US" w:bidi="en-US"/>
    </w:rPr>
  </w:style>
  <w:style w:type="character" w:customStyle="1" w:styleId="206">
    <w:name w:val="目录 (6) + Constantia"/>
    <w:basedOn w:val="203"/>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207">
    <w:name w:val="目录 (7)_"/>
    <w:basedOn w:val="48"/>
    <w:link w:val="208"/>
    <w:qFormat/>
    <w:uiPriority w:val="0"/>
    <w:rPr>
      <w:rFonts w:ascii="宋体" w:hAnsi="宋体" w:eastAsia="宋体" w:cs="宋体"/>
      <w:sz w:val="20"/>
      <w:szCs w:val="20"/>
      <w:u w:val="none"/>
      <w:lang w:val="en-US" w:eastAsia="en-US" w:bidi="en-US"/>
    </w:rPr>
  </w:style>
  <w:style w:type="paragraph" w:customStyle="1" w:styleId="208">
    <w:name w:val="目录 (7)"/>
    <w:basedOn w:val="1"/>
    <w:link w:val="207"/>
    <w:qFormat/>
    <w:uiPriority w:val="0"/>
    <w:pPr>
      <w:shd w:val="clear" w:color="auto" w:fill="FFFFFF"/>
      <w:spacing w:before="300" w:line="0" w:lineRule="atLeast"/>
      <w:jc w:val="both"/>
    </w:pPr>
    <w:rPr>
      <w:rFonts w:ascii="宋体" w:hAnsi="宋体" w:eastAsia="宋体" w:cs="宋体"/>
      <w:sz w:val="20"/>
      <w:szCs w:val="20"/>
      <w:lang w:val="en-US" w:eastAsia="en-US" w:bidi="en-US"/>
    </w:rPr>
  </w:style>
  <w:style w:type="character" w:customStyle="1" w:styleId="209">
    <w:name w:val="目录 (7) + Constantia"/>
    <w:basedOn w:val="207"/>
    <w:qFormat/>
    <w:uiPriority w:val="0"/>
    <w:rPr>
      <w:rFonts w:ascii="Constantia" w:hAnsi="Constantia" w:eastAsia="Constantia" w:cs="Constantia"/>
      <w:color w:val="000000"/>
      <w:spacing w:val="10"/>
      <w:w w:val="100"/>
      <w:position w:val="0"/>
      <w:sz w:val="20"/>
      <w:szCs w:val="20"/>
      <w:u w:val="none"/>
      <w:lang w:val="en-US" w:eastAsia="en-US" w:bidi="en-US"/>
    </w:rPr>
  </w:style>
  <w:style w:type="character" w:customStyle="1" w:styleId="210">
    <w:name w:val="目录 (7) + Constantia1"/>
    <w:basedOn w:val="207"/>
    <w:qFormat/>
    <w:uiPriority w:val="0"/>
    <w:rPr>
      <w:rFonts w:ascii="Constantia" w:hAnsi="Constantia" w:eastAsia="Constantia" w:cs="Constantia"/>
      <w:smallCaps/>
      <w:color w:val="000000"/>
      <w:spacing w:val="10"/>
      <w:w w:val="100"/>
      <w:position w:val="0"/>
      <w:sz w:val="20"/>
      <w:szCs w:val="20"/>
      <w:u w:val="none"/>
      <w:lang w:val="en-US" w:eastAsia="en-US" w:bidi="en-US"/>
    </w:rPr>
  </w:style>
  <w:style w:type="character" w:customStyle="1" w:styleId="211">
    <w:name w:val="目录 (8)_"/>
    <w:basedOn w:val="48"/>
    <w:link w:val="212"/>
    <w:qFormat/>
    <w:uiPriority w:val="0"/>
    <w:rPr>
      <w:rFonts w:ascii="宋体" w:hAnsi="宋体" w:eastAsia="宋体" w:cs="宋体"/>
      <w:sz w:val="18"/>
      <w:szCs w:val="18"/>
      <w:u w:val="none"/>
      <w:lang w:val="en-US" w:eastAsia="en-US" w:bidi="en-US"/>
    </w:rPr>
  </w:style>
  <w:style w:type="paragraph" w:customStyle="1" w:styleId="212">
    <w:name w:val="目录 (8)"/>
    <w:basedOn w:val="1"/>
    <w:link w:val="211"/>
    <w:qFormat/>
    <w:uiPriority w:val="0"/>
    <w:pPr>
      <w:shd w:val="clear" w:color="auto" w:fill="FFFFFF"/>
      <w:spacing w:before="300" w:line="0" w:lineRule="atLeast"/>
      <w:jc w:val="both"/>
    </w:pPr>
    <w:rPr>
      <w:rFonts w:ascii="宋体" w:hAnsi="宋体" w:eastAsia="宋体" w:cs="宋体"/>
      <w:sz w:val="18"/>
      <w:szCs w:val="18"/>
      <w:lang w:val="en-US" w:eastAsia="en-US" w:bidi="en-US"/>
    </w:rPr>
  </w:style>
  <w:style w:type="character" w:customStyle="1" w:styleId="213">
    <w:name w:val="目录 (8) + Arial Narrow"/>
    <w:basedOn w:val="211"/>
    <w:qFormat/>
    <w:uiPriority w:val="0"/>
    <w:rPr>
      <w:rFonts w:ascii="Arial Narrow" w:hAnsi="Arial Narrow" w:eastAsia="Arial Narrow" w:cs="Arial Narrow"/>
      <w:color w:val="000000"/>
      <w:spacing w:val="0"/>
      <w:w w:val="100"/>
      <w:position w:val="0"/>
      <w:sz w:val="20"/>
      <w:szCs w:val="20"/>
      <w:u w:val="none"/>
      <w:lang w:val="en-US" w:eastAsia="en-US" w:bidi="en-US"/>
    </w:rPr>
  </w:style>
  <w:style w:type="character" w:customStyle="1" w:styleId="214">
    <w:name w:val="目录 (8) + Constantia"/>
    <w:basedOn w:val="211"/>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215">
    <w:name w:val="目录 (9)_"/>
    <w:basedOn w:val="48"/>
    <w:link w:val="216"/>
    <w:qFormat/>
    <w:uiPriority w:val="0"/>
    <w:rPr>
      <w:rFonts w:ascii="Constantia" w:hAnsi="Constantia" w:eastAsia="Constantia" w:cs="Constantia"/>
      <w:sz w:val="16"/>
      <w:szCs w:val="16"/>
      <w:u w:val="none"/>
      <w:lang w:val="en-US" w:eastAsia="en-US" w:bidi="en-US"/>
    </w:rPr>
  </w:style>
  <w:style w:type="paragraph" w:customStyle="1" w:styleId="216">
    <w:name w:val="目录 (9)"/>
    <w:basedOn w:val="1"/>
    <w:link w:val="215"/>
    <w:qFormat/>
    <w:uiPriority w:val="0"/>
    <w:pPr>
      <w:shd w:val="clear" w:color="auto" w:fill="FFFFFF"/>
      <w:spacing w:before="300" w:line="0" w:lineRule="atLeast"/>
      <w:jc w:val="both"/>
    </w:pPr>
    <w:rPr>
      <w:rFonts w:ascii="Constantia" w:hAnsi="Constantia" w:eastAsia="Constantia" w:cs="Constantia"/>
      <w:sz w:val="16"/>
      <w:szCs w:val="16"/>
      <w:lang w:val="en-US" w:eastAsia="en-US" w:bidi="en-US"/>
    </w:rPr>
  </w:style>
  <w:style w:type="character" w:customStyle="1" w:styleId="217">
    <w:name w:val="目录 (9) + Arial Narrow"/>
    <w:basedOn w:val="215"/>
    <w:qFormat/>
    <w:uiPriority w:val="0"/>
    <w:rPr>
      <w:rFonts w:ascii="Arial Narrow" w:hAnsi="Arial Narrow" w:eastAsia="Arial Narrow" w:cs="Arial Narrow"/>
      <w:b/>
      <w:bCs/>
      <w:color w:val="000000"/>
      <w:spacing w:val="0"/>
      <w:w w:val="100"/>
      <w:position w:val="0"/>
      <w:sz w:val="10"/>
      <w:szCs w:val="10"/>
      <w:u w:val="none"/>
      <w:lang w:val="en-US" w:eastAsia="en-US" w:bidi="en-US"/>
    </w:rPr>
  </w:style>
  <w:style w:type="character" w:customStyle="1" w:styleId="218">
    <w:name w:val="目录 (9) + 小型大写"/>
    <w:basedOn w:val="215"/>
    <w:qFormat/>
    <w:uiPriority w:val="0"/>
    <w:rPr>
      <w:rFonts w:ascii="Constantia" w:hAnsi="Constantia" w:eastAsia="Constantia" w:cs="Constantia"/>
      <w:smallCaps/>
      <w:color w:val="000000"/>
      <w:spacing w:val="0"/>
      <w:w w:val="100"/>
      <w:position w:val="0"/>
      <w:sz w:val="16"/>
      <w:szCs w:val="16"/>
      <w:u w:val="none"/>
      <w:lang w:val="en-US" w:eastAsia="en-US" w:bidi="en-US"/>
    </w:rPr>
  </w:style>
  <w:style w:type="character" w:customStyle="1" w:styleId="219">
    <w:name w:val="目录 + 13 pt1"/>
    <w:basedOn w:val="83"/>
    <w:qFormat/>
    <w:uiPriority w:val="0"/>
    <w:rPr>
      <w:rFonts w:ascii="宋体" w:hAnsi="宋体" w:eastAsia="宋体" w:cs="宋体"/>
      <w:smallCaps/>
      <w:color w:val="000000"/>
      <w:spacing w:val="0"/>
      <w:w w:val="100"/>
      <w:position w:val="0"/>
      <w:sz w:val="26"/>
      <w:szCs w:val="26"/>
      <w:u w:val="none"/>
      <w:lang w:val="en-US" w:eastAsia="en-US" w:bidi="en-US"/>
    </w:rPr>
  </w:style>
  <w:style w:type="character" w:customStyle="1" w:styleId="220">
    <w:name w:val="目录 (10)_"/>
    <w:basedOn w:val="48"/>
    <w:link w:val="221"/>
    <w:qFormat/>
    <w:uiPriority w:val="0"/>
    <w:rPr>
      <w:rFonts w:ascii="Arial Narrow" w:hAnsi="Arial Narrow" w:eastAsia="Arial Narrow" w:cs="Arial Narrow"/>
      <w:sz w:val="15"/>
      <w:szCs w:val="15"/>
      <w:u w:val="none"/>
      <w:lang w:val="en-US" w:eastAsia="en-US" w:bidi="en-US"/>
    </w:rPr>
  </w:style>
  <w:style w:type="paragraph" w:customStyle="1" w:styleId="221">
    <w:name w:val="目录 (10)"/>
    <w:basedOn w:val="1"/>
    <w:link w:val="220"/>
    <w:qFormat/>
    <w:uiPriority w:val="0"/>
    <w:pPr>
      <w:shd w:val="clear" w:color="auto" w:fill="FFFFFF"/>
      <w:spacing w:before="300" w:line="0" w:lineRule="atLeast"/>
      <w:jc w:val="both"/>
    </w:pPr>
    <w:rPr>
      <w:rFonts w:ascii="Arial Narrow" w:hAnsi="Arial Narrow" w:eastAsia="Arial Narrow" w:cs="Arial Narrow"/>
      <w:sz w:val="15"/>
      <w:szCs w:val="15"/>
      <w:lang w:val="en-US" w:eastAsia="en-US" w:bidi="en-US"/>
    </w:rPr>
  </w:style>
  <w:style w:type="character" w:customStyle="1" w:styleId="222">
    <w:name w:val="目录 (10) + 5 pt"/>
    <w:basedOn w:val="220"/>
    <w:qFormat/>
    <w:uiPriority w:val="0"/>
    <w:rPr>
      <w:rFonts w:ascii="Arial Narrow" w:hAnsi="Arial Narrow" w:eastAsia="Arial Narrow" w:cs="Arial Narrow"/>
      <w:color w:val="000000"/>
      <w:spacing w:val="0"/>
      <w:w w:val="100"/>
      <w:position w:val="0"/>
      <w:sz w:val="10"/>
      <w:szCs w:val="10"/>
      <w:u w:val="none"/>
      <w:lang w:val="en-US" w:eastAsia="en-US" w:bidi="en-US"/>
    </w:rPr>
  </w:style>
  <w:style w:type="character" w:customStyle="1" w:styleId="223">
    <w:name w:val="目录 (7) + 14 pt"/>
    <w:basedOn w:val="207"/>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224">
    <w:name w:val="目录 (11)_"/>
    <w:basedOn w:val="48"/>
    <w:link w:val="225"/>
    <w:qFormat/>
    <w:uiPriority w:val="0"/>
    <w:rPr>
      <w:rFonts w:ascii="Lucida Sans Unicode" w:hAnsi="Lucida Sans Unicode" w:eastAsia="Lucida Sans Unicode" w:cs="Lucida Sans Unicode"/>
      <w:spacing w:val="40"/>
      <w:sz w:val="15"/>
      <w:szCs w:val="15"/>
      <w:u w:val="none"/>
      <w:lang w:val="en-US" w:eastAsia="en-US" w:bidi="en-US"/>
    </w:rPr>
  </w:style>
  <w:style w:type="paragraph" w:customStyle="1" w:styleId="225">
    <w:name w:val="目录 (11)"/>
    <w:basedOn w:val="1"/>
    <w:link w:val="224"/>
    <w:qFormat/>
    <w:uiPriority w:val="0"/>
    <w:pPr>
      <w:shd w:val="clear" w:color="auto" w:fill="FFFFFF"/>
      <w:spacing w:before="300" w:line="0" w:lineRule="atLeast"/>
      <w:jc w:val="both"/>
    </w:pPr>
    <w:rPr>
      <w:rFonts w:ascii="Lucida Sans Unicode" w:hAnsi="Lucida Sans Unicode" w:eastAsia="Lucida Sans Unicode" w:cs="Lucida Sans Unicode"/>
      <w:spacing w:val="40"/>
      <w:sz w:val="15"/>
      <w:szCs w:val="15"/>
      <w:lang w:val="en-US" w:eastAsia="en-US" w:bidi="en-US"/>
    </w:rPr>
  </w:style>
  <w:style w:type="character" w:customStyle="1" w:styleId="226">
    <w:name w:val="目录 (11) + Arial Narrow"/>
    <w:basedOn w:val="224"/>
    <w:qFormat/>
    <w:uiPriority w:val="0"/>
    <w:rPr>
      <w:rFonts w:ascii="Arial Narrow" w:hAnsi="Arial Narrow" w:eastAsia="Arial Narrow" w:cs="Arial Narrow"/>
      <w:color w:val="000000"/>
      <w:spacing w:val="0"/>
      <w:w w:val="100"/>
      <w:position w:val="0"/>
      <w:sz w:val="15"/>
      <w:szCs w:val="15"/>
      <w:u w:val="none"/>
      <w:lang w:val="en-US" w:eastAsia="en-US" w:bidi="en-US"/>
    </w:rPr>
  </w:style>
  <w:style w:type="character" w:customStyle="1" w:styleId="227">
    <w:name w:val="目录 (11) + 小型大写"/>
    <w:basedOn w:val="224"/>
    <w:qFormat/>
    <w:uiPriority w:val="0"/>
    <w:rPr>
      <w:rFonts w:ascii="Lucida Sans Unicode" w:hAnsi="Lucida Sans Unicode" w:eastAsia="Lucida Sans Unicode" w:cs="Lucida Sans Unicode"/>
      <w:smallCaps/>
      <w:color w:val="000000"/>
      <w:spacing w:val="40"/>
      <w:w w:val="100"/>
      <w:position w:val="0"/>
      <w:sz w:val="15"/>
      <w:szCs w:val="15"/>
      <w:u w:val="none"/>
      <w:lang w:val="en-US" w:eastAsia="en-US" w:bidi="en-US"/>
    </w:rPr>
  </w:style>
  <w:style w:type="character" w:customStyle="1" w:styleId="228">
    <w:name w:val="目录 (3) + 小型大写"/>
    <w:basedOn w:val="185"/>
    <w:qFormat/>
    <w:uiPriority w:val="0"/>
    <w:rPr>
      <w:rFonts w:ascii="宋体" w:hAnsi="宋体" w:eastAsia="宋体" w:cs="宋体"/>
      <w:smallCaps/>
      <w:color w:val="000000"/>
      <w:spacing w:val="0"/>
      <w:w w:val="100"/>
      <w:position w:val="0"/>
      <w:sz w:val="26"/>
      <w:szCs w:val="26"/>
      <w:u w:val="none"/>
      <w:lang w:val="en-US" w:eastAsia="en-US" w:bidi="en-US"/>
    </w:rPr>
  </w:style>
  <w:style w:type="character" w:customStyle="1" w:styleId="229">
    <w:name w:val="正文文本 (8) + 间距 -1 pt"/>
    <w:basedOn w:val="122"/>
    <w:qFormat/>
    <w:uiPriority w:val="0"/>
    <w:rPr>
      <w:rFonts w:ascii="宋体" w:hAnsi="宋体" w:eastAsia="宋体" w:cs="宋体"/>
      <w:color w:val="000000"/>
      <w:spacing w:val="-30"/>
      <w:w w:val="100"/>
      <w:position w:val="0"/>
      <w:sz w:val="28"/>
      <w:szCs w:val="28"/>
      <w:u w:val="none"/>
      <w:lang w:val="en-US" w:eastAsia="en-US" w:bidi="en-US"/>
    </w:rPr>
  </w:style>
  <w:style w:type="character" w:customStyle="1" w:styleId="230">
    <w:name w:val="正文文本 (8) + Arial Narrow1"/>
    <w:basedOn w:val="122"/>
    <w:qFormat/>
    <w:uiPriority w:val="0"/>
    <w:rPr>
      <w:rFonts w:ascii="Arial Narrow" w:hAnsi="Arial Narrow" w:eastAsia="Arial Narrow" w:cs="Arial Narrow"/>
      <w:color w:val="000000"/>
      <w:spacing w:val="10"/>
      <w:w w:val="100"/>
      <w:position w:val="0"/>
      <w:sz w:val="18"/>
      <w:szCs w:val="18"/>
      <w:u w:val="none"/>
      <w:lang w:val="en-US" w:eastAsia="en-US" w:bidi="en-US"/>
    </w:rPr>
  </w:style>
  <w:style w:type="character" w:customStyle="1" w:styleId="231">
    <w:name w:val="正文文本 (8) + Arial Narrow2"/>
    <w:basedOn w:val="122"/>
    <w:qFormat/>
    <w:uiPriority w:val="0"/>
    <w:rPr>
      <w:rFonts w:ascii="Arial Narrow" w:hAnsi="Arial Narrow" w:eastAsia="Arial Narrow" w:cs="Arial Narrow"/>
      <w:smallCaps/>
      <w:color w:val="000000"/>
      <w:spacing w:val="10"/>
      <w:w w:val="100"/>
      <w:position w:val="0"/>
      <w:sz w:val="18"/>
      <w:szCs w:val="18"/>
      <w:u w:val="none"/>
      <w:lang w:val="en-US" w:eastAsia="en-US" w:bidi="en-US"/>
    </w:rPr>
  </w:style>
  <w:style w:type="character" w:customStyle="1" w:styleId="232">
    <w:name w:val="正文文本 (8) + Constantia6"/>
    <w:basedOn w:val="122"/>
    <w:qFormat/>
    <w:uiPriority w:val="0"/>
    <w:rPr>
      <w:rFonts w:ascii="Constantia" w:hAnsi="Constantia" w:eastAsia="Constantia" w:cs="Constantia"/>
      <w:smallCaps/>
      <w:color w:val="000000"/>
      <w:spacing w:val="10"/>
      <w:w w:val="100"/>
      <w:position w:val="0"/>
      <w:sz w:val="20"/>
      <w:szCs w:val="20"/>
      <w:u w:val="none"/>
      <w:lang w:val="en-US" w:eastAsia="en-US" w:bidi="en-US"/>
    </w:rPr>
  </w:style>
  <w:style w:type="character" w:customStyle="1" w:styleId="233">
    <w:name w:val="正文文本 (8) + 13 pt3"/>
    <w:basedOn w:val="122"/>
    <w:qFormat/>
    <w:uiPriority w:val="0"/>
    <w:rPr>
      <w:rFonts w:ascii="宋体" w:hAnsi="宋体" w:eastAsia="宋体" w:cs="宋体"/>
      <w:color w:val="000000"/>
      <w:spacing w:val="40"/>
      <w:w w:val="100"/>
      <w:position w:val="0"/>
      <w:sz w:val="26"/>
      <w:szCs w:val="26"/>
      <w:u w:val="none"/>
      <w:lang w:val="en-US" w:eastAsia="en-US" w:bidi="en-US"/>
    </w:rPr>
  </w:style>
  <w:style w:type="character" w:customStyle="1" w:styleId="234">
    <w:name w:val="正文文本 (10) + 间距 2 pt"/>
    <w:basedOn w:val="181"/>
    <w:qFormat/>
    <w:uiPriority w:val="0"/>
    <w:rPr>
      <w:rFonts w:ascii="宋体" w:hAnsi="宋体" w:eastAsia="宋体" w:cs="宋体"/>
      <w:color w:val="000000"/>
      <w:spacing w:val="40"/>
      <w:w w:val="100"/>
      <w:position w:val="0"/>
      <w:sz w:val="26"/>
      <w:szCs w:val="26"/>
      <w:u w:val="none"/>
      <w:lang w:val="en-US" w:eastAsia="en-US" w:bidi="en-US"/>
    </w:rPr>
  </w:style>
  <w:style w:type="character" w:customStyle="1" w:styleId="235">
    <w:name w:val="正文文本 (7)1"/>
    <w:basedOn w:val="111"/>
    <w:qFormat/>
    <w:uiPriority w:val="0"/>
    <w:rPr>
      <w:rFonts w:ascii="宋体" w:hAnsi="宋体" w:eastAsia="宋体" w:cs="宋体"/>
      <w:b/>
      <w:bCs/>
      <w:color w:val="000000"/>
      <w:spacing w:val="0"/>
      <w:w w:val="100"/>
      <w:position w:val="0"/>
      <w:sz w:val="24"/>
      <w:szCs w:val="24"/>
      <w:u w:val="none"/>
      <w:lang w:val="en-US" w:eastAsia="en-US" w:bidi="en-US"/>
    </w:rPr>
  </w:style>
  <w:style w:type="character" w:customStyle="1" w:styleId="236">
    <w:name w:val="正文文本 (8) + 12 pt"/>
    <w:basedOn w:val="122"/>
    <w:qFormat/>
    <w:uiPriority w:val="0"/>
    <w:rPr>
      <w:rFonts w:ascii="宋体" w:hAnsi="宋体" w:eastAsia="宋体" w:cs="宋体"/>
      <w:color w:val="000000"/>
      <w:spacing w:val="-10"/>
      <w:w w:val="100"/>
      <w:position w:val="0"/>
      <w:sz w:val="24"/>
      <w:szCs w:val="24"/>
      <w:u w:val="none"/>
      <w:lang w:val="zh-TW" w:eastAsia="zh-TW" w:bidi="zh-TW"/>
    </w:rPr>
  </w:style>
  <w:style w:type="character" w:customStyle="1" w:styleId="237">
    <w:name w:val="图片标题 (2)_"/>
    <w:basedOn w:val="48"/>
    <w:link w:val="238"/>
    <w:qFormat/>
    <w:uiPriority w:val="0"/>
    <w:rPr>
      <w:rFonts w:ascii="宋体" w:hAnsi="宋体" w:eastAsia="宋体" w:cs="宋体"/>
      <w:b/>
      <w:bCs/>
      <w:sz w:val="28"/>
      <w:szCs w:val="28"/>
      <w:u w:val="none"/>
    </w:rPr>
  </w:style>
  <w:style w:type="paragraph" w:customStyle="1" w:styleId="238">
    <w:name w:val="图片标题 (2)"/>
    <w:basedOn w:val="1"/>
    <w:link w:val="237"/>
    <w:qFormat/>
    <w:uiPriority w:val="0"/>
    <w:pPr>
      <w:shd w:val="clear" w:color="auto" w:fill="FFFFFF"/>
      <w:spacing w:line="0" w:lineRule="atLeast"/>
      <w:jc w:val="right"/>
    </w:pPr>
    <w:rPr>
      <w:rFonts w:ascii="宋体" w:hAnsi="宋体" w:eastAsia="宋体" w:cs="宋体"/>
      <w:b/>
      <w:bCs/>
      <w:sz w:val="28"/>
      <w:szCs w:val="28"/>
    </w:rPr>
  </w:style>
  <w:style w:type="character" w:customStyle="1" w:styleId="239">
    <w:name w:val="正文文本 (8) + Candara"/>
    <w:basedOn w:val="122"/>
    <w:qFormat/>
    <w:uiPriority w:val="0"/>
    <w:rPr>
      <w:rFonts w:ascii="Candara" w:hAnsi="Candara" w:eastAsia="Candara" w:cs="Candara"/>
      <w:i/>
      <w:iCs/>
      <w:color w:val="000000"/>
      <w:spacing w:val="0"/>
      <w:w w:val="100"/>
      <w:position w:val="0"/>
      <w:sz w:val="24"/>
      <w:szCs w:val="24"/>
      <w:u w:val="none"/>
      <w:lang w:val="zh-TW" w:eastAsia="zh-TW" w:bidi="zh-TW"/>
    </w:rPr>
  </w:style>
  <w:style w:type="character" w:customStyle="1" w:styleId="240">
    <w:name w:val="图片标题 (2) + 13 pt"/>
    <w:basedOn w:val="237"/>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241">
    <w:name w:val="日期 Char"/>
    <w:basedOn w:val="48"/>
    <w:link w:val="27"/>
    <w:qFormat/>
    <w:uiPriority w:val="0"/>
    <w:rPr>
      <w:rFonts w:eastAsia="Microsoft JhengHei Light"/>
      <w:color w:val="000000"/>
    </w:rPr>
  </w:style>
  <w:style w:type="character" w:customStyle="1" w:styleId="242">
    <w:name w:val="页眉 Char1"/>
    <w:basedOn w:val="48"/>
    <w:link w:val="31"/>
    <w:qFormat/>
    <w:uiPriority w:val="0"/>
    <w:rPr>
      <w:rFonts w:eastAsia="Microsoft JhengHei Light"/>
      <w:color w:val="000000"/>
      <w:sz w:val="18"/>
      <w:szCs w:val="18"/>
    </w:rPr>
  </w:style>
  <w:style w:type="character" w:customStyle="1" w:styleId="243">
    <w:name w:val="页脚 Char1"/>
    <w:basedOn w:val="48"/>
    <w:link w:val="30"/>
    <w:qFormat/>
    <w:uiPriority w:val="99"/>
    <w:rPr>
      <w:rFonts w:eastAsia="Microsoft JhengHei Light"/>
      <w:color w:val="000000"/>
      <w:sz w:val="18"/>
      <w:szCs w:val="18"/>
    </w:rPr>
  </w:style>
  <w:style w:type="character" w:customStyle="1" w:styleId="244">
    <w:name w:val="批注框文本 Char"/>
    <w:basedOn w:val="48"/>
    <w:link w:val="29"/>
    <w:qFormat/>
    <w:uiPriority w:val="0"/>
    <w:rPr>
      <w:rFonts w:eastAsia="Microsoft JhengHei Light"/>
      <w:color w:val="000000"/>
      <w:sz w:val="18"/>
      <w:szCs w:val="18"/>
    </w:rPr>
  </w:style>
  <w:style w:type="paragraph" w:customStyle="1" w:styleId="245">
    <w:name w:val="xl25"/>
    <w:basedOn w:val="1"/>
    <w:qFormat/>
    <w:uiPriority w:val="0"/>
    <w:pPr>
      <w:widowControl/>
      <w:pBdr>
        <w:bottom w:val="single" w:color="auto" w:sz="4" w:space="0"/>
        <w:right w:val="single" w:color="auto" w:sz="4" w:space="0"/>
      </w:pBdr>
      <w:spacing w:before="100" w:beforeAutospacing="1" w:after="100" w:afterAutospacing="1"/>
      <w:jc w:val="both"/>
    </w:pPr>
    <w:rPr>
      <w:rFonts w:ascii="Times New Roman" w:hAnsi="Times New Roman" w:eastAsia="宋体" w:cs="Times New Roman"/>
      <w:color w:val="auto"/>
      <w:sz w:val="21"/>
      <w:szCs w:val="21"/>
      <w:lang w:val="en-US" w:eastAsia="zh-CN" w:bidi="ar-SA"/>
    </w:rPr>
  </w:style>
  <w:style w:type="character" w:customStyle="1" w:styleId="246">
    <w:name w:val="zw1"/>
    <w:qFormat/>
    <w:uiPriority w:val="0"/>
    <w:rPr>
      <w:rFonts w:hint="eastAsia" w:ascii="宋体" w:hAnsi="宋体" w:eastAsia="宋体"/>
      <w:sz w:val="22"/>
      <w:szCs w:val="22"/>
    </w:rPr>
  </w:style>
  <w:style w:type="character" w:customStyle="1" w:styleId="247">
    <w:name w:val="bt21"/>
    <w:qFormat/>
    <w:uiPriority w:val="0"/>
    <w:rPr>
      <w:rFonts w:hint="eastAsia" w:ascii="黑体" w:hAnsi="黑体" w:eastAsia="黑体"/>
      <w:sz w:val="24"/>
      <w:szCs w:val="24"/>
    </w:rPr>
  </w:style>
  <w:style w:type="character" w:customStyle="1" w:styleId="248">
    <w:name w:val="正文缩进 Char1"/>
    <w:link w:val="14"/>
    <w:qFormat/>
    <w:locked/>
    <w:uiPriority w:val="0"/>
    <w:rPr>
      <w:rFonts w:ascii="宋体" w:hAnsi="宋体" w:eastAsia="宋体"/>
      <w:kern w:val="2"/>
      <w:sz w:val="21"/>
      <w:lang w:val="en-US" w:eastAsia="zh-CN" w:bidi="ar-SA"/>
    </w:rPr>
  </w:style>
  <w:style w:type="paragraph" w:customStyle="1" w:styleId="249">
    <w:name w:val="表格"/>
    <w:basedOn w:val="1"/>
    <w:qFormat/>
    <w:uiPriority w:val="0"/>
    <w:pPr>
      <w:adjustRightInd w:val="0"/>
      <w:snapToGrid w:val="0"/>
      <w:spacing w:line="264" w:lineRule="auto"/>
    </w:pPr>
    <w:rPr>
      <w:rFonts w:ascii="宋体" w:hAnsi="宋体" w:eastAsia="宋体" w:cs="Times New Roman"/>
      <w:color w:val="auto"/>
      <w:szCs w:val="20"/>
      <w:lang w:val="en-US" w:eastAsia="zh-CN" w:bidi="ar-SA"/>
    </w:rPr>
  </w:style>
  <w:style w:type="paragraph" w:customStyle="1" w:styleId="250">
    <w:name w:val="样式2"/>
    <w:basedOn w:val="1"/>
    <w:qFormat/>
    <w:uiPriority w:val="0"/>
    <w:pPr>
      <w:tabs>
        <w:tab w:val="left" w:pos="360"/>
      </w:tabs>
      <w:ind w:left="360" w:hanging="360" w:hangingChars="200"/>
      <w:jc w:val="both"/>
    </w:pPr>
    <w:rPr>
      <w:rFonts w:ascii="Times New Roman" w:hAnsi="Times New Roman" w:eastAsia="宋体" w:cs="Times New Roman"/>
      <w:color w:val="auto"/>
      <w:kern w:val="2"/>
      <w:sz w:val="21"/>
      <w:szCs w:val="20"/>
      <w:lang w:val="en-US" w:eastAsia="zh-CN" w:bidi="ar-SA"/>
    </w:rPr>
  </w:style>
  <w:style w:type="paragraph" w:customStyle="1" w:styleId="251">
    <w:name w:val="Char"/>
    <w:basedOn w:val="1"/>
    <w:qFormat/>
    <w:uiPriority w:val="0"/>
    <w:pPr>
      <w:spacing w:line="360" w:lineRule="auto"/>
      <w:ind w:firstLine="200" w:firstLineChars="200"/>
      <w:jc w:val="both"/>
    </w:pPr>
    <w:rPr>
      <w:rFonts w:ascii="宋体" w:hAnsi="宋体" w:eastAsia="宋体" w:cs="宋体"/>
      <w:color w:val="auto"/>
      <w:kern w:val="2"/>
      <w:lang w:val="en-US" w:eastAsia="zh-CN" w:bidi="ar-SA"/>
    </w:rPr>
  </w:style>
  <w:style w:type="paragraph" w:customStyle="1" w:styleId="252">
    <w:name w:val="样式 宋体 黑色"/>
    <w:basedOn w:val="1"/>
    <w:qFormat/>
    <w:uiPriority w:val="0"/>
    <w:pPr>
      <w:jc w:val="both"/>
    </w:pPr>
    <w:rPr>
      <w:rFonts w:ascii="宋体" w:hAnsi="宋体" w:eastAsia="宋体" w:cs="宋体"/>
      <w:kern w:val="2"/>
      <w:sz w:val="21"/>
      <w:szCs w:val="20"/>
      <w:lang w:val="en-US" w:eastAsia="zh-CN" w:bidi="ar-SA"/>
    </w:rPr>
  </w:style>
  <w:style w:type="paragraph" w:customStyle="1" w:styleId="253">
    <w:name w:val="正文　2"/>
    <w:basedOn w:val="252"/>
    <w:qFormat/>
    <w:uiPriority w:val="0"/>
    <w:pPr>
      <w:ind w:firstLine="420" w:firstLineChars="200"/>
    </w:pPr>
  </w:style>
  <w:style w:type="paragraph" w:customStyle="1" w:styleId="254">
    <w:name w:val="内部地址"/>
    <w:basedOn w:val="1"/>
    <w:qFormat/>
    <w:uiPriority w:val="0"/>
    <w:pPr>
      <w:jc w:val="both"/>
    </w:pPr>
    <w:rPr>
      <w:rFonts w:ascii="Times New Roman" w:hAnsi="Times New Roman" w:eastAsia="宋体" w:cs="Times New Roman"/>
      <w:color w:val="auto"/>
      <w:kern w:val="2"/>
      <w:sz w:val="21"/>
      <w:lang w:val="en-US" w:eastAsia="zh-CN" w:bidi="ar-SA"/>
    </w:rPr>
  </w:style>
  <w:style w:type="character" w:customStyle="1" w:styleId="255">
    <w:name w:val="标题 2 字符"/>
    <w:basedOn w:val="48"/>
    <w:qFormat/>
    <w:uiPriority w:val="0"/>
    <w:rPr>
      <w:rFonts w:asciiTheme="majorHAnsi" w:hAnsiTheme="majorHAnsi" w:eastAsiaTheme="majorEastAsia" w:cstheme="majorBidi"/>
      <w:b/>
      <w:bCs/>
      <w:color w:val="000000"/>
      <w:sz w:val="32"/>
      <w:szCs w:val="32"/>
    </w:rPr>
  </w:style>
  <w:style w:type="character" w:customStyle="1" w:styleId="256">
    <w:name w:val="标题 3 字符1"/>
    <w:qFormat/>
    <w:locked/>
    <w:uiPriority w:val="0"/>
    <w:rPr>
      <w:rFonts w:hint="eastAsia" w:ascii="宋体" w:hAnsi="宋体" w:eastAsia="宋体"/>
      <w:b/>
      <w:bCs/>
      <w:kern w:val="2"/>
      <w:sz w:val="32"/>
      <w:szCs w:val="32"/>
      <w:lang w:val="en-US" w:eastAsia="zh-CN" w:bidi="ar-SA"/>
    </w:rPr>
  </w:style>
  <w:style w:type="character" w:customStyle="1" w:styleId="257">
    <w:name w:val="HTML 预设格式 Char"/>
    <w:basedOn w:val="48"/>
    <w:link w:val="40"/>
    <w:qFormat/>
    <w:uiPriority w:val="0"/>
    <w:rPr>
      <w:rFonts w:ascii="Arial" w:hAnsi="Arial" w:eastAsia="宋体" w:cs="Arial"/>
      <w:szCs w:val="20"/>
      <w:lang w:val="en-US" w:eastAsia="zh-CN" w:bidi="ar-SA"/>
    </w:rPr>
  </w:style>
  <w:style w:type="paragraph" w:customStyle="1" w:styleId="258">
    <w:name w:val="msonormal"/>
    <w:basedOn w:val="1"/>
    <w:qFormat/>
    <w:uiPriority w:val="0"/>
    <w:pPr>
      <w:widowControl/>
      <w:spacing w:before="100" w:beforeAutospacing="1" w:after="100" w:afterAutospacing="1"/>
    </w:pPr>
    <w:rPr>
      <w:rFonts w:ascii="宋体" w:hAnsi="宋体" w:eastAsia="宋体" w:cs="宋体"/>
      <w:color w:val="auto"/>
      <w:lang w:val="en-US" w:eastAsia="zh-CN" w:bidi="ar-SA"/>
    </w:rPr>
  </w:style>
  <w:style w:type="paragraph" w:customStyle="1" w:styleId="259">
    <w:name w:val="目录 11"/>
    <w:basedOn w:val="1"/>
    <w:next w:val="1"/>
    <w:qFormat/>
    <w:uiPriority w:val="39"/>
    <w:pPr>
      <w:spacing w:before="120" w:after="120"/>
    </w:pPr>
    <w:rPr>
      <w:rFonts w:ascii="Calibri" w:hAnsi="Calibri" w:eastAsia="宋体" w:cs="Times New Roman"/>
      <w:b/>
      <w:bCs/>
      <w:caps/>
      <w:color w:val="auto"/>
      <w:kern w:val="2"/>
      <w:sz w:val="20"/>
      <w:szCs w:val="20"/>
      <w:lang w:val="en-US" w:eastAsia="zh-CN" w:bidi="ar-SA"/>
    </w:rPr>
  </w:style>
  <w:style w:type="character" w:customStyle="1" w:styleId="260">
    <w:name w:val="批注文字 Char"/>
    <w:link w:val="17"/>
    <w:qFormat/>
    <w:locked/>
    <w:uiPriority w:val="99"/>
    <w:rPr>
      <w:rFonts w:ascii="Times New Roman" w:hAnsi="Times New Roman" w:eastAsia="宋体" w:cs="Times New Roman"/>
      <w:kern w:val="2"/>
      <w:sz w:val="21"/>
      <w:lang w:bidi="ar-SA"/>
    </w:rPr>
  </w:style>
  <w:style w:type="character" w:customStyle="1" w:styleId="261">
    <w:name w:val="批注文字 字符"/>
    <w:basedOn w:val="48"/>
    <w:qFormat/>
    <w:uiPriority w:val="99"/>
    <w:rPr>
      <w:rFonts w:eastAsia="Microsoft JhengHei Light"/>
      <w:color w:val="000000"/>
    </w:rPr>
  </w:style>
  <w:style w:type="character" w:customStyle="1" w:styleId="262">
    <w:name w:val="页眉 字符1"/>
    <w:qFormat/>
    <w:locked/>
    <w:uiPriority w:val="0"/>
    <w:rPr>
      <w:rFonts w:hint="eastAsia" w:ascii="宋体" w:hAnsi="宋体" w:eastAsia="宋体"/>
      <w:kern w:val="2"/>
      <w:sz w:val="18"/>
      <w:szCs w:val="18"/>
      <w:lang w:val="en-US" w:eastAsia="zh-CN" w:bidi="ar-SA"/>
    </w:rPr>
  </w:style>
  <w:style w:type="character" w:customStyle="1" w:styleId="263">
    <w:name w:val="标题 Char"/>
    <w:link w:val="43"/>
    <w:qFormat/>
    <w:locked/>
    <w:uiPriority w:val="0"/>
    <w:rPr>
      <w:rFonts w:ascii="Arial" w:hAnsi="Arial" w:eastAsia="宋体" w:cs="Times New Roman"/>
      <w:b/>
      <w:bCs/>
      <w:kern w:val="2"/>
      <w:sz w:val="32"/>
      <w:szCs w:val="32"/>
      <w:lang w:bidi="ar-SA"/>
    </w:rPr>
  </w:style>
  <w:style w:type="character" w:customStyle="1" w:styleId="264">
    <w:name w:val="标题 字符"/>
    <w:basedOn w:val="48"/>
    <w:qFormat/>
    <w:uiPriority w:val="0"/>
    <w:rPr>
      <w:rFonts w:asciiTheme="majorHAnsi" w:hAnsiTheme="majorHAnsi" w:eastAsiaTheme="majorEastAsia" w:cstheme="majorBidi"/>
      <w:b/>
      <w:bCs/>
      <w:color w:val="000000"/>
      <w:sz w:val="32"/>
      <w:szCs w:val="32"/>
    </w:rPr>
  </w:style>
  <w:style w:type="character" w:customStyle="1" w:styleId="265">
    <w:name w:val="正文文本 Char"/>
    <w:basedOn w:val="48"/>
    <w:link w:val="19"/>
    <w:qFormat/>
    <w:uiPriority w:val="0"/>
    <w:rPr>
      <w:rFonts w:ascii="Times New Roman" w:hAnsi="Times New Roman" w:eastAsia="宋体" w:cs="Times New Roman"/>
      <w:kern w:val="2"/>
      <w:sz w:val="18"/>
      <w:lang w:val="en-US" w:eastAsia="zh-CN" w:bidi="ar-SA"/>
    </w:rPr>
  </w:style>
  <w:style w:type="character" w:customStyle="1" w:styleId="266">
    <w:name w:val="正文文本缩进 Char"/>
    <w:link w:val="20"/>
    <w:qFormat/>
    <w:locked/>
    <w:uiPriority w:val="0"/>
    <w:rPr>
      <w:rFonts w:ascii="宋体" w:hAnsi="宋体" w:eastAsia="宋体" w:cs="Times New Roman"/>
      <w:color w:val="000000"/>
      <w:kern w:val="20"/>
      <w:sz w:val="28"/>
      <w:lang w:bidi="ar-SA"/>
    </w:rPr>
  </w:style>
  <w:style w:type="character" w:customStyle="1" w:styleId="267">
    <w:name w:val="正文文本缩进 字符"/>
    <w:basedOn w:val="48"/>
    <w:qFormat/>
    <w:uiPriority w:val="0"/>
    <w:rPr>
      <w:rFonts w:eastAsia="Microsoft JhengHei Light"/>
      <w:color w:val="000000"/>
    </w:rPr>
  </w:style>
  <w:style w:type="paragraph" w:customStyle="1" w:styleId="268">
    <w:name w:val="正文首行缩进1"/>
    <w:basedOn w:val="19"/>
    <w:qFormat/>
    <w:uiPriority w:val="0"/>
    <w:pPr>
      <w:spacing w:after="120"/>
      <w:ind w:firstLine="420" w:firstLineChars="100"/>
    </w:pPr>
    <w:rPr>
      <w:sz w:val="21"/>
    </w:rPr>
  </w:style>
  <w:style w:type="character" w:customStyle="1" w:styleId="269">
    <w:name w:val="正文首行缩进 2 Char1"/>
    <w:basedOn w:val="267"/>
    <w:link w:val="45"/>
    <w:qFormat/>
    <w:uiPriority w:val="0"/>
    <w:rPr>
      <w:rFonts w:ascii="宋体" w:hAnsi="宋体" w:eastAsia="宋体" w:cs="Times New Roman"/>
      <w:color w:val="000000"/>
      <w:kern w:val="24"/>
      <w:sz w:val="28"/>
      <w:lang w:bidi="ar-SA"/>
    </w:rPr>
  </w:style>
  <w:style w:type="character" w:customStyle="1" w:styleId="270">
    <w:name w:val="注释标题 Char"/>
    <w:basedOn w:val="48"/>
    <w:link w:val="13"/>
    <w:qFormat/>
    <w:uiPriority w:val="0"/>
    <w:rPr>
      <w:rFonts w:ascii="宋体" w:hAnsi="Times New Roman" w:eastAsia="宋体" w:cs="Times New Roman"/>
      <w:kern w:val="2"/>
      <w:sz w:val="21"/>
      <w:szCs w:val="20"/>
      <w:lang w:val="en-US" w:eastAsia="zh-CN" w:bidi="ar-SA"/>
    </w:rPr>
  </w:style>
  <w:style w:type="character" w:customStyle="1" w:styleId="271">
    <w:name w:val="正文文本 2 Char"/>
    <w:basedOn w:val="48"/>
    <w:link w:val="39"/>
    <w:qFormat/>
    <w:uiPriority w:val="0"/>
    <w:rPr>
      <w:rFonts w:ascii="Times New Roman" w:hAnsi="Times New Roman" w:eastAsia="宋体" w:cs="Times New Roman"/>
      <w:kern w:val="2"/>
      <w:sz w:val="21"/>
      <w:lang w:val="en-US" w:eastAsia="zh-CN" w:bidi="ar-SA"/>
    </w:rPr>
  </w:style>
  <w:style w:type="character" w:customStyle="1" w:styleId="272">
    <w:name w:val="正文文本 3 Char"/>
    <w:basedOn w:val="48"/>
    <w:link w:val="18"/>
    <w:qFormat/>
    <w:uiPriority w:val="0"/>
    <w:rPr>
      <w:rFonts w:ascii="宋体" w:hAnsi="宋体" w:eastAsia="宋体" w:cs="Times New Roman"/>
      <w:color w:val="000000"/>
      <w:kern w:val="2"/>
      <w:sz w:val="21"/>
      <w:lang w:val="en-US" w:eastAsia="zh-CN" w:bidi="ar-SA"/>
    </w:rPr>
  </w:style>
  <w:style w:type="character" w:customStyle="1" w:styleId="273">
    <w:name w:val="正文文本缩进 2 Char"/>
    <w:basedOn w:val="48"/>
    <w:link w:val="28"/>
    <w:qFormat/>
    <w:uiPriority w:val="0"/>
    <w:rPr>
      <w:rFonts w:ascii="Times New Roman" w:hAnsi="Times New Roman" w:eastAsia="宋体" w:cs="Times New Roman"/>
      <w:kern w:val="2"/>
      <w:sz w:val="21"/>
      <w:lang w:val="en-US" w:eastAsia="zh-CN" w:bidi="ar-SA"/>
    </w:rPr>
  </w:style>
  <w:style w:type="character" w:customStyle="1" w:styleId="274">
    <w:name w:val="正文文本缩进 3 Char"/>
    <w:basedOn w:val="48"/>
    <w:link w:val="36"/>
    <w:qFormat/>
    <w:uiPriority w:val="0"/>
    <w:rPr>
      <w:rFonts w:ascii="Times New Roman" w:hAnsi="Times New Roman" w:eastAsia="宋体" w:cs="Times New Roman"/>
      <w:kern w:val="2"/>
      <w:sz w:val="16"/>
      <w:szCs w:val="16"/>
      <w:lang w:val="en-US" w:eastAsia="zh-CN" w:bidi="ar-SA"/>
    </w:rPr>
  </w:style>
  <w:style w:type="character" w:customStyle="1" w:styleId="275">
    <w:name w:val="文档结构图 Char"/>
    <w:basedOn w:val="48"/>
    <w:link w:val="16"/>
    <w:semiHidden/>
    <w:qFormat/>
    <w:uiPriority w:val="0"/>
    <w:rPr>
      <w:rFonts w:ascii="Times New Roman" w:hAnsi="Times New Roman" w:eastAsia="宋体" w:cs="Times New Roman"/>
      <w:kern w:val="2"/>
      <w:sz w:val="21"/>
      <w:shd w:val="clear" w:color="auto" w:fill="000080"/>
      <w:lang w:val="en-US" w:eastAsia="zh-CN" w:bidi="ar-SA"/>
    </w:rPr>
  </w:style>
  <w:style w:type="character" w:customStyle="1" w:styleId="276">
    <w:name w:val="纯文本 Char"/>
    <w:link w:val="25"/>
    <w:qFormat/>
    <w:locked/>
    <w:uiPriority w:val="0"/>
    <w:rPr>
      <w:rFonts w:ascii="宋体" w:hAnsi="Courier New" w:eastAsia="宋体" w:cs="Courier New"/>
      <w:kern w:val="2"/>
      <w:sz w:val="21"/>
      <w:szCs w:val="21"/>
    </w:rPr>
  </w:style>
  <w:style w:type="character" w:customStyle="1" w:styleId="277">
    <w:name w:val="纯文本 字符"/>
    <w:basedOn w:val="48"/>
    <w:qFormat/>
    <w:uiPriority w:val="0"/>
    <w:rPr>
      <w:rFonts w:hAnsi="Courier New" w:cs="Courier New" w:asciiTheme="minorEastAsia"/>
      <w:color w:val="000000"/>
    </w:rPr>
  </w:style>
  <w:style w:type="character" w:customStyle="1" w:styleId="278">
    <w:name w:val="批注主题 Char"/>
    <w:link w:val="44"/>
    <w:qFormat/>
    <w:locked/>
    <w:uiPriority w:val="0"/>
    <w:rPr>
      <w:rFonts w:ascii="Times New Roman" w:hAnsi="Times New Roman" w:eastAsia="宋体" w:cs="Times New Roman"/>
      <w:b/>
      <w:bCs/>
      <w:kern w:val="2"/>
      <w:sz w:val="21"/>
      <w:lang w:bidi="ar-SA"/>
    </w:rPr>
  </w:style>
  <w:style w:type="character" w:customStyle="1" w:styleId="279">
    <w:name w:val="批注主题 字符"/>
    <w:basedOn w:val="261"/>
    <w:qFormat/>
    <w:uiPriority w:val="0"/>
    <w:rPr>
      <w:rFonts w:eastAsia="Microsoft JhengHei Light"/>
      <w:b/>
      <w:bCs/>
      <w:color w:val="000000"/>
    </w:rPr>
  </w:style>
  <w:style w:type="paragraph" w:customStyle="1" w:styleId="280">
    <w:name w:val="xl26"/>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281">
    <w:name w:val="xl34"/>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lang w:val="en-US" w:eastAsia="zh-CN" w:bidi="ar-SA"/>
    </w:rPr>
  </w:style>
  <w:style w:type="paragraph" w:customStyle="1" w:styleId="282">
    <w:name w:val="xl2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sz w:val="28"/>
      <w:szCs w:val="28"/>
      <w:lang w:val="en-US" w:eastAsia="zh-CN" w:bidi="ar-SA"/>
    </w:rPr>
  </w:style>
  <w:style w:type="paragraph" w:customStyle="1" w:styleId="283">
    <w:name w:val="样式 样式1 + 首行缩进:  2 字符"/>
    <w:basedOn w:val="1"/>
    <w:qFormat/>
    <w:uiPriority w:val="0"/>
    <w:pPr>
      <w:spacing w:line="360" w:lineRule="auto"/>
      <w:ind w:firstLine="200" w:firstLineChars="200"/>
      <w:jc w:val="both"/>
    </w:pPr>
    <w:rPr>
      <w:rFonts w:ascii="Times New Roman" w:hAnsi="Times New Roman" w:eastAsia="宋体" w:cs="宋体"/>
      <w:color w:val="auto"/>
      <w:kern w:val="2"/>
      <w:sz w:val="28"/>
      <w:szCs w:val="28"/>
      <w:lang w:val="en-US" w:eastAsia="zh-CN" w:bidi="ar-SA"/>
    </w:rPr>
  </w:style>
  <w:style w:type="paragraph" w:customStyle="1" w:styleId="284">
    <w:name w:val="报告标题3"/>
    <w:basedOn w:val="1"/>
    <w:qFormat/>
    <w:uiPriority w:val="0"/>
    <w:pPr>
      <w:spacing w:beforeLines="50" w:line="600" w:lineRule="atLeast"/>
      <w:jc w:val="both"/>
    </w:pPr>
    <w:rPr>
      <w:rFonts w:ascii="Times New Roman" w:hAnsi="Times New Roman" w:eastAsia="黑体" w:cs="Times New Roman"/>
      <w:color w:val="auto"/>
      <w:kern w:val="2"/>
      <w:sz w:val="28"/>
      <w:lang w:val="en-US" w:eastAsia="zh-CN" w:bidi="ar-SA"/>
    </w:rPr>
  </w:style>
  <w:style w:type="character" w:customStyle="1" w:styleId="285">
    <w:name w:val="样式 正文文本 + 首行缩进:  2 字符 Char"/>
    <w:link w:val="286"/>
    <w:qFormat/>
    <w:locked/>
    <w:uiPriority w:val="0"/>
    <w:rPr>
      <w:rFonts w:ascii="宋体" w:hAnsi="宋体" w:eastAsia="宋体" w:cs="宋体"/>
      <w:kern w:val="2"/>
      <w:sz w:val="28"/>
      <w:szCs w:val="28"/>
      <w:lang w:val="en-US" w:eastAsia="zh-CN" w:bidi="ar-SA"/>
    </w:rPr>
  </w:style>
  <w:style w:type="paragraph" w:customStyle="1" w:styleId="286">
    <w:name w:val="样式 正文文本 + 首行缩进:  2 字符"/>
    <w:basedOn w:val="19"/>
    <w:link w:val="285"/>
    <w:qFormat/>
    <w:uiPriority w:val="0"/>
    <w:pPr>
      <w:spacing w:line="360" w:lineRule="auto"/>
      <w:ind w:firstLine="200" w:firstLineChars="200"/>
    </w:pPr>
    <w:rPr>
      <w:rFonts w:hint="eastAsia" w:ascii="宋体" w:hAnsi="宋体" w:cs="宋体"/>
      <w:sz w:val="28"/>
      <w:szCs w:val="28"/>
    </w:rPr>
  </w:style>
  <w:style w:type="paragraph" w:customStyle="1" w:styleId="287">
    <w:name w:val="样式9"/>
    <w:basedOn w:val="1"/>
    <w:qFormat/>
    <w:uiPriority w:val="0"/>
    <w:pPr>
      <w:jc w:val="both"/>
    </w:pPr>
    <w:rPr>
      <w:rFonts w:ascii="Times New Roman" w:hAnsi="Times New Roman" w:eastAsia="宋体" w:cs="Times New Roman"/>
      <w:color w:val="auto"/>
      <w:kern w:val="2"/>
      <w:sz w:val="21"/>
      <w:lang w:val="en-US" w:eastAsia="zh-CN" w:bidi="ar-SA"/>
    </w:rPr>
  </w:style>
  <w:style w:type="character" w:customStyle="1" w:styleId="288">
    <w:name w:val="样式 样式1 + 首行缩进:  2 字符1 Char"/>
    <w:link w:val="289"/>
    <w:qFormat/>
    <w:locked/>
    <w:uiPriority w:val="0"/>
    <w:rPr>
      <w:rFonts w:ascii="宋体" w:hAnsi="宋体" w:eastAsia="宋体" w:cs="宋体"/>
      <w:kern w:val="2"/>
      <w:sz w:val="28"/>
      <w:lang w:val="en-US" w:eastAsia="zh-CN" w:bidi="ar-SA"/>
    </w:rPr>
  </w:style>
  <w:style w:type="paragraph" w:customStyle="1" w:styleId="289">
    <w:name w:val="样式 样式1 + 首行缩进:  2 字符1"/>
    <w:basedOn w:val="1"/>
    <w:next w:val="1"/>
    <w:link w:val="288"/>
    <w:qFormat/>
    <w:uiPriority w:val="0"/>
    <w:pPr>
      <w:spacing w:line="360" w:lineRule="auto"/>
      <w:ind w:firstLine="200" w:firstLineChars="200"/>
      <w:jc w:val="both"/>
    </w:pPr>
    <w:rPr>
      <w:rFonts w:hint="eastAsia" w:ascii="宋体" w:hAnsi="宋体" w:eastAsia="宋体" w:cs="宋体"/>
      <w:color w:val="auto"/>
      <w:kern w:val="2"/>
      <w:sz w:val="28"/>
      <w:lang w:val="en-US" w:eastAsia="zh-CN" w:bidi="ar-SA"/>
    </w:rPr>
  </w:style>
  <w:style w:type="paragraph" w:customStyle="1" w:styleId="290">
    <w:name w:val="表头"/>
    <w:basedOn w:val="1"/>
    <w:qFormat/>
    <w:uiPriority w:val="0"/>
    <w:pPr>
      <w:keepNext/>
      <w:spacing w:before="120" w:after="60" w:line="400" w:lineRule="exact"/>
      <w:ind w:firstLine="493"/>
    </w:pPr>
    <w:rPr>
      <w:rFonts w:ascii="黑体" w:hAnsi="Times New Roman" w:eastAsia="黑体" w:cs="Times New Roman"/>
      <w:color w:val="auto"/>
      <w:spacing w:val="8"/>
      <w:kern w:val="21"/>
      <w:sz w:val="21"/>
      <w:szCs w:val="20"/>
      <w:lang w:val="en-US" w:eastAsia="zh-CN" w:bidi="ar-SA"/>
    </w:rPr>
  </w:style>
  <w:style w:type="paragraph" w:customStyle="1" w:styleId="291">
    <w:name w:val="font5"/>
    <w:basedOn w:val="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292">
    <w:name w:val="font6"/>
    <w:basedOn w:val="1"/>
    <w:qFormat/>
    <w:uiPriority w:val="0"/>
    <w:pPr>
      <w:widowControl/>
      <w:spacing w:before="100" w:beforeAutospacing="1" w:after="100" w:afterAutospacing="1"/>
    </w:pPr>
    <w:rPr>
      <w:rFonts w:ascii="宋体" w:hAnsi="宋体" w:eastAsia="宋体" w:cs="Times New Roman"/>
      <w:color w:val="auto"/>
      <w:sz w:val="18"/>
      <w:szCs w:val="18"/>
      <w:lang w:val="en-US" w:eastAsia="zh-CN" w:bidi="ar-SA"/>
    </w:rPr>
  </w:style>
  <w:style w:type="paragraph" w:customStyle="1" w:styleId="293">
    <w:name w:val="font7"/>
    <w:basedOn w:val="1"/>
    <w:qFormat/>
    <w:uiPriority w:val="0"/>
    <w:pPr>
      <w:widowControl/>
      <w:spacing w:before="100" w:beforeAutospacing="1" w:after="100" w:afterAutospacing="1"/>
    </w:pPr>
    <w:rPr>
      <w:rFonts w:ascii="Times New Roman" w:hAnsi="Times New Roman" w:eastAsia="宋体" w:cs="Times New Roman"/>
      <w:color w:val="auto"/>
      <w:lang w:val="en-US" w:eastAsia="zh-CN" w:bidi="ar-SA"/>
    </w:rPr>
  </w:style>
  <w:style w:type="paragraph" w:customStyle="1" w:styleId="294">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295">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29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297">
    <w:name w:val="15"/>
    <w:basedOn w:val="1"/>
    <w:next w:val="14"/>
    <w:qFormat/>
    <w:uiPriority w:val="0"/>
    <w:pPr>
      <w:ind w:firstLine="420" w:firstLineChars="200"/>
      <w:jc w:val="both"/>
    </w:pPr>
    <w:rPr>
      <w:rFonts w:ascii="Times New Roman" w:hAnsi="Times New Roman" w:eastAsia="宋体" w:cs="Times New Roman"/>
      <w:color w:val="auto"/>
      <w:kern w:val="2"/>
      <w:sz w:val="28"/>
      <w:lang w:val="en-US" w:eastAsia="zh-CN" w:bidi="ar-SA"/>
    </w:rPr>
  </w:style>
  <w:style w:type="paragraph" w:customStyle="1" w:styleId="298">
    <w:name w:val="font9"/>
    <w:basedOn w:val="1"/>
    <w:qFormat/>
    <w:uiPriority w:val="0"/>
    <w:pPr>
      <w:widowControl/>
      <w:spacing w:before="100" w:beforeAutospacing="1" w:after="100" w:afterAutospacing="1"/>
    </w:pPr>
    <w:rPr>
      <w:rFonts w:ascii="Times New Roman" w:hAnsi="Times New Roman" w:eastAsia="宋体" w:cs="Times New Roman"/>
      <w:sz w:val="21"/>
      <w:szCs w:val="21"/>
      <w:lang w:val="en-US" w:eastAsia="zh-CN" w:bidi="ar-SA"/>
    </w:rPr>
  </w:style>
  <w:style w:type="paragraph" w:customStyle="1" w:styleId="299">
    <w:name w:val="14"/>
    <w:basedOn w:val="1"/>
    <w:next w:val="19"/>
    <w:qFormat/>
    <w:uiPriority w:val="0"/>
    <w:pPr>
      <w:spacing w:beforeLines="100"/>
      <w:jc w:val="both"/>
    </w:pPr>
    <w:rPr>
      <w:rFonts w:ascii="Times New Roman" w:hAnsi="Times New Roman" w:eastAsia="宋体" w:cs="Times New Roman"/>
      <w:color w:val="auto"/>
      <w:kern w:val="2"/>
      <w:sz w:val="28"/>
      <w:lang w:val="en-US" w:eastAsia="zh-CN" w:bidi="ar-SA"/>
    </w:rPr>
  </w:style>
  <w:style w:type="paragraph" w:customStyle="1" w:styleId="300">
    <w:name w:val="13"/>
    <w:basedOn w:val="1"/>
    <w:next w:val="4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301">
    <w:name w:val="12"/>
    <w:basedOn w:val="1"/>
    <w:next w:val="20"/>
    <w:qFormat/>
    <w:uiPriority w:val="0"/>
    <w:pPr>
      <w:spacing w:line="400" w:lineRule="exact"/>
      <w:ind w:left="1039" w:leftChars="266" w:hanging="480" w:hangingChars="200"/>
      <w:jc w:val="both"/>
    </w:pPr>
    <w:rPr>
      <w:rFonts w:ascii="宋体" w:hAnsi="宋体" w:eastAsia="宋体" w:cs="Times New Roman"/>
      <w:color w:val="auto"/>
      <w:kern w:val="2"/>
      <w:lang w:val="en-US" w:eastAsia="zh-CN" w:bidi="ar-SA"/>
    </w:rPr>
  </w:style>
  <w:style w:type="paragraph" w:customStyle="1" w:styleId="302">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2"/>
      <w:szCs w:val="22"/>
      <w:lang w:val="en-US" w:eastAsia="zh-CN" w:bidi="ar-SA"/>
    </w:rPr>
  </w:style>
  <w:style w:type="paragraph" w:customStyle="1" w:styleId="303">
    <w:name w:val="font0"/>
    <w:basedOn w:val="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304">
    <w:name w:val="font8"/>
    <w:basedOn w:val="1"/>
    <w:qFormat/>
    <w:uiPriority w:val="0"/>
    <w:pPr>
      <w:widowControl/>
      <w:spacing w:before="100" w:beforeAutospacing="1" w:after="100" w:afterAutospacing="1"/>
    </w:pPr>
    <w:rPr>
      <w:rFonts w:ascii="宋体" w:hAnsi="宋体" w:eastAsia="宋体" w:cs="Times New Roman"/>
      <w:sz w:val="21"/>
      <w:szCs w:val="21"/>
      <w:lang w:val="en-US" w:eastAsia="zh-CN" w:bidi="ar-SA"/>
    </w:rPr>
  </w:style>
  <w:style w:type="paragraph" w:customStyle="1" w:styleId="305">
    <w:name w:val="font10"/>
    <w:basedOn w:val="1"/>
    <w:qFormat/>
    <w:uiPriority w:val="0"/>
    <w:pPr>
      <w:widowControl/>
      <w:spacing w:before="100" w:beforeAutospacing="1" w:after="100" w:afterAutospacing="1"/>
    </w:pPr>
    <w:rPr>
      <w:rFonts w:ascii="宋体" w:hAnsi="宋体" w:eastAsia="宋体" w:cs="Times New Roman"/>
      <w:color w:val="auto"/>
      <w:sz w:val="18"/>
      <w:szCs w:val="18"/>
      <w:lang w:val="en-US" w:eastAsia="zh-CN" w:bidi="ar-SA"/>
    </w:rPr>
  </w:style>
  <w:style w:type="paragraph" w:customStyle="1" w:styleId="306">
    <w:name w:val="font11"/>
    <w:basedOn w:val="1"/>
    <w:qFormat/>
    <w:uiPriority w:val="0"/>
    <w:pPr>
      <w:widowControl/>
      <w:spacing w:before="100" w:beforeAutospacing="1" w:after="100" w:afterAutospacing="1"/>
    </w:pPr>
    <w:rPr>
      <w:rFonts w:ascii="宋体" w:hAnsi="宋体" w:eastAsia="宋体" w:cs="Times New Roman"/>
      <w:b/>
      <w:bCs/>
      <w:color w:val="auto"/>
      <w:sz w:val="32"/>
      <w:szCs w:val="32"/>
      <w:lang w:val="en-US" w:eastAsia="zh-CN" w:bidi="ar-SA"/>
    </w:rPr>
  </w:style>
  <w:style w:type="paragraph" w:customStyle="1" w:styleId="307">
    <w:name w:val="font12"/>
    <w:basedOn w:val="1"/>
    <w:qFormat/>
    <w:uiPriority w:val="0"/>
    <w:pPr>
      <w:widowControl/>
      <w:spacing w:before="100" w:beforeAutospacing="1" w:after="100" w:afterAutospacing="1"/>
    </w:pPr>
    <w:rPr>
      <w:rFonts w:ascii="Times New Roman" w:hAnsi="Times New Roman" w:eastAsia="宋体" w:cs="Times New Roman"/>
      <w:color w:val="auto"/>
      <w:lang w:val="en-US" w:eastAsia="zh-CN" w:bidi="ar-SA"/>
    </w:rPr>
  </w:style>
  <w:style w:type="paragraph" w:customStyle="1" w:styleId="308">
    <w:name w:val="font13"/>
    <w:basedOn w:val="1"/>
    <w:qFormat/>
    <w:uiPriority w:val="0"/>
    <w:pPr>
      <w:widowControl/>
      <w:spacing w:before="100" w:beforeAutospacing="1" w:after="100" w:afterAutospacing="1"/>
    </w:pPr>
    <w:rPr>
      <w:rFonts w:ascii="宋体" w:hAnsi="宋体" w:eastAsia="宋体" w:cs="Times New Roman"/>
      <w:lang w:val="en-US" w:eastAsia="zh-CN" w:bidi="ar-SA"/>
    </w:rPr>
  </w:style>
  <w:style w:type="paragraph" w:customStyle="1" w:styleId="309">
    <w:name w:val="font14"/>
    <w:basedOn w:val="1"/>
    <w:qFormat/>
    <w:uiPriority w:val="0"/>
    <w:pPr>
      <w:widowControl/>
      <w:spacing w:before="100" w:beforeAutospacing="1" w:after="100" w:afterAutospacing="1"/>
    </w:pPr>
    <w:rPr>
      <w:rFonts w:ascii="宋体" w:hAnsi="宋体" w:eastAsia="宋体" w:cs="Times New Roman"/>
      <w:sz w:val="22"/>
      <w:szCs w:val="22"/>
      <w:lang w:val="en-US" w:eastAsia="zh-CN" w:bidi="ar-SA"/>
    </w:rPr>
  </w:style>
  <w:style w:type="paragraph" w:customStyle="1" w:styleId="310">
    <w:name w:val="font15"/>
    <w:basedOn w:val="1"/>
    <w:qFormat/>
    <w:uiPriority w:val="0"/>
    <w:pPr>
      <w:widowControl/>
      <w:spacing w:before="100" w:beforeAutospacing="1" w:after="100" w:afterAutospacing="1"/>
    </w:pPr>
    <w:rPr>
      <w:rFonts w:ascii="Times New Roman" w:hAnsi="Times New Roman" w:eastAsia="宋体" w:cs="Times New Roman"/>
      <w:sz w:val="22"/>
      <w:szCs w:val="22"/>
      <w:lang w:val="en-US" w:eastAsia="zh-CN" w:bidi="ar-SA"/>
    </w:rPr>
  </w:style>
  <w:style w:type="paragraph" w:customStyle="1" w:styleId="311">
    <w:name w:val="font16"/>
    <w:basedOn w:val="1"/>
    <w:qFormat/>
    <w:uiPriority w:val="0"/>
    <w:pPr>
      <w:widowControl/>
      <w:spacing w:before="100" w:beforeAutospacing="1" w:after="100" w:afterAutospacing="1"/>
    </w:pPr>
    <w:rPr>
      <w:rFonts w:ascii="Times New Roman" w:hAnsi="Times New Roman" w:eastAsia="宋体" w:cs="Times New Roman"/>
      <w:lang w:val="en-US" w:eastAsia="zh-CN" w:bidi="ar-SA"/>
    </w:rPr>
  </w:style>
  <w:style w:type="paragraph" w:customStyle="1" w:styleId="312">
    <w:name w:val="font17"/>
    <w:basedOn w:val="1"/>
    <w:qFormat/>
    <w:uiPriority w:val="0"/>
    <w:pPr>
      <w:widowControl/>
      <w:spacing w:before="100" w:beforeAutospacing="1" w:after="100" w:afterAutospacing="1"/>
    </w:pPr>
    <w:rPr>
      <w:rFonts w:ascii="仿宋_GB2312" w:hAnsi="宋体" w:eastAsia="仿宋_GB2312" w:cs="Times New Roman"/>
      <w:b/>
      <w:bCs/>
      <w:color w:val="auto"/>
      <w:sz w:val="32"/>
      <w:szCs w:val="32"/>
      <w:lang w:val="en-US" w:eastAsia="zh-CN" w:bidi="ar-SA"/>
    </w:rPr>
  </w:style>
  <w:style w:type="paragraph" w:customStyle="1" w:styleId="313">
    <w:name w:val="font18"/>
    <w:basedOn w:val="1"/>
    <w:qFormat/>
    <w:uiPriority w:val="0"/>
    <w:pPr>
      <w:widowControl/>
      <w:spacing w:before="100" w:beforeAutospacing="1" w:after="100" w:afterAutospacing="1"/>
    </w:pPr>
    <w:rPr>
      <w:rFonts w:ascii="Times New Roman" w:hAnsi="Times New Roman" w:eastAsia="宋体" w:cs="Times New Roman"/>
      <w:b/>
      <w:bCs/>
      <w:color w:val="auto"/>
      <w:sz w:val="32"/>
      <w:szCs w:val="32"/>
      <w:lang w:val="en-US" w:eastAsia="zh-CN" w:bidi="ar-SA"/>
    </w:rPr>
  </w:style>
  <w:style w:type="paragraph" w:customStyle="1" w:styleId="31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color w:val="auto"/>
      <w:lang w:val="en-US" w:eastAsia="zh-CN" w:bidi="ar-SA"/>
    </w:rPr>
  </w:style>
  <w:style w:type="paragraph" w:customStyle="1" w:styleId="315">
    <w:name w:val="xl28"/>
    <w:basedOn w:val="1"/>
    <w:qFormat/>
    <w:uiPriority w:val="0"/>
    <w:pPr>
      <w:widowControl/>
      <w:pBdr>
        <w:bottom w:val="single" w:color="auto" w:sz="4" w:space="0"/>
        <w:right w:val="single" w:color="auto" w:sz="4" w:space="0"/>
      </w:pBdr>
      <w:spacing w:before="100" w:beforeAutospacing="1" w:after="100" w:afterAutospacing="1"/>
    </w:pPr>
    <w:rPr>
      <w:rFonts w:ascii="Times New Roman" w:hAnsi="Times New Roman" w:eastAsia="宋体" w:cs="Times New Roman"/>
      <w:color w:val="auto"/>
      <w:sz w:val="21"/>
      <w:szCs w:val="21"/>
      <w:lang w:val="en-US" w:eastAsia="zh-CN" w:bidi="ar-SA"/>
    </w:rPr>
  </w:style>
  <w:style w:type="paragraph" w:customStyle="1" w:styleId="316">
    <w:name w:val="xl30"/>
    <w:basedOn w:val="1"/>
    <w:qFormat/>
    <w:uiPriority w:val="0"/>
    <w:pPr>
      <w:widowControl/>
      <w:pBdr>
        <w:bottom w:val="single" w:color="auto" w:sz="4" w:space="0"/>
        <w:right w:val="single" w:color="auto" w:sz="4" w:space="0"/>
      </w:pBdr>
      <w:spacing w:before="100" w:beforeAutospacing="1" w:after="100" w:afterAutospacing="1"/>
    </w:pPr>
    <w:rPr>
      <w:rFonts w:ascii="Times New Roman" w:hAnsi="Times New Roman" w:eastAsia="宋体" w:cs="Times New Roman"/>
      <w:sz w:val="21"/>
      <w:szCs w:val="21"/>
      <w:lang w:val="en-US" w:eastAsia="zh-CN" w:bidi="ar-SA"/>
    </w:rPr>
  </w:style>
  <w:style w:type="paragraph" w:customStyle="1" w:styleId="317">
    <w:name w:val="xl31"/>
    <w:basedOn w:val="1"/>
    <w:qFormat/>
    <w:uiPriority w:val="0"/>
    <w:pPr>
      <w:widowControl/>
      <w:pBdr>
        <w:bottom w:val="single" w:color="auto" w:sz="4" w:space="0"/>
        <w:right w:val="single" w:color="auto" w:sz="4" w:space="0"/>
      </w:pBdr>
      <w:spacing w:before="100" w:beforeAutospacing="1" w:after="100" w:afterAutospacing="1"/>
      <w:jc w:val="both"/>
    </w:pPr>
    <w:rPr>
      <w:rFonts w:ascii="Times New Roman" w:hAnsi="Times New Roman" w:eastAsia="宋体" w:cs="Times New Roman"/>
      <w:sz w:val="21"/>
      <w:szCs w:val="21"/>
      <w:lang w:val="en-US" w:eastAsia="zh-CN" w:bidi="ar-SA"/>
    </w:rPr>
  </w:style>
  <w:style w:type="paragraph" w:customStyle="1" w:styleId="318">
    <w:name w:val="xl32"/>
    <w:basedOn w:val="1"/>
    <w:qFormat/>
    <w:uiPriority w:val="0"/>
    <w:pPr>
      <w:widowControl/>
      <w:pBdr>
        <w:bottom w:val="single" w:color="auto" w:sz="4" w:space="0"/>
        <w:right w:val="single" w:color="auto" w:sz="4" w:space="0"/>
      </w:pBdr>
      <w:spacing w:before="100" w:beforeAutospacing="1" w:after="100" w:afterAutospacing="1"/>
    </w:pPr>
    <w:rPr>
      <w:rFonts w:ascii="宋体" w:hAnsi="宋体" w:eastAsia="宋体" w:cs="Times New Roman"/>
      <w:sz w:val="21"/>
      <w:szCs w:val="21"/>
      <w:lang w:val="en-US" w:eastAsia="zh-CN" w:bidi="ar-SA"/>
    </w:rPr>
  </w:style>
  <w:style w:type="paragraph" w:customStyle="1" w:styleId="31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0">
    <w:name w:val="xl3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1">
    <w:name w:val="xl36"/>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2">
    <w:name w:val="xl37"/>
    <w:basedOn w:val="1"/>
    <w:qFormat/>
    <w:uiPriority w:val="0"/>
    <w:pPr>
      <w:widowControl/>
      <w:pBdr>
        <w:top w:val="single" w:color="auto" w:sz="4" w:space="0"/>
        <w:left w:val="single" w:color="auto" w:sz="4" w:space="0"/>
        <w:bottom w:val="single" w:color="auto" w:sz="4" w:space="0"/>
      </w:pBdr>
      <w:spacing w:before="100" w:beforeAutospacing="1" w:after="100" w:afterAutospacing="1"/>
    </w:pPr>
    <w:rPr>
      <w:rFonts w:ascii="宋体" w:hAnsi="宋体" w:eastAsia="宋体" w:cs="Times New Roman"/>
      <w:color w:val="auto"/>
      <w:sz w:val="21"/>
      <w:szCs w:val="21"/>
      <w:lang w:val="en-US" w:eastAsia="zh-CN" w:bidi="ar-SA"/>
    </w:rPr>
  </w:style>
  <w:style w:type="paragraph" w:customStyle="1" w:styleId="323">
    <w:name w:val="xl38"/>
    <w:basedOn w:val="1"/>
    <w:qFormat/>
    <w:uiPriority w:val="0"/>
    <w:pPr>
      <w:widowControl/>
      <w:pBdr>
        <w:bottom w:val="single" w:color="auto" w:sz="4" w:space="0"/>
      </w:pBdr>
      <w:spacing w:before="100" w:beforeAutospacing="1" w:after="100" w:afterAutospacing="1"/>
    </w:pPr>
    <w:rPr>
      <w:rFonts w:ascii="宋体" w:hAnsi="宋体" w:eastAsia="宋体" w:cs="Times New Roman"/>
      <w:color w:val="auto"/>
      <w:sz w:val="21"/>
      <w:szCs w:val="21"/>
      <w:lang w:val="en-US" w:eastAsia="zh-CN" w:bidi="ar-SA"/>
    </w:rPr>
  </w:style>
  <w:style w:type="paragraph" w:customStyle="1" w:styleId="324">
    <w:name w:val="xl39"/>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5">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1"/>
      <w:szCs w:val="21"/>
      <w:lang w:val="en-US" w:eastAsia="zh-CN" w:bidi="ar-SA"/>
    </w:rPr>
  </w:style>
  <w:style w:type="paragraph" w:customStyle="1" w:styleId="32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lang w:val="en-US" w:eastAsia="zh-CN" w:bidi="ar-SA"/>
    </w:rPr>
  </w:style>
  <w:style w:type="paragraph" w:customStyle="1" w:styleId="327">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color w:val="auto"/>
      <w:sz w:val="21"/>
      <w:szCs w:val="21"/>
      <w:lang w:val="en-US" w:eastAsia="zh-CN" w:bidi="ar-SA"/>
    </w:rPr>
  </w:style>
  <w:style w:type="paragraph" w:customStyle="1" w:styleId="328">
    <w:name w:val="xl43"/>
    <w:basedOn w:val="1"/>
    <w:qFormat/>
    <w:uiPriority w:val="0"/>
    <w:pPr>
      <w:widowControl/>
      <w:pBdr>
        <w:bottom w:val="single" w:color="auto" w:sz="4" w:space="0"/>
        <w:right w:val="single" w:color="auto" w:sz="4" w:space="0"/>
      </w:pBdr>
      <w:spacing w:before="100" w:beforeAutospacing="1" w:after="100" w:afterAutospacing="1"/>
      <w:jc w:val="both"/>
    </w:pPr>
    <w:rPr>
      <w:rFonts w:ascii="宋体" w:hAnsi="宋体" w:eastAsia="宋体" w:cs="Times New Roman"/>
      <w:sz w:val="21"/>
      <w:szCs w:val="21"/>
      <w:lang w:val="en-US" w:eastAsia="zh-CN" w:bidi="ar-SA"/>
    </w:rPr>
  </w:style>
  <w:style w:type="paragraph" w:customStyle="1" w:styleId="329">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330">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31">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lang w:val="en-US" w:eastAsia="zh-CN" w:bidi="ar-SA"/>
    </w:rPr>
  </w:style>
  <w:style w:type="paragraph" w:customStyle="1" w:styleId="332">
    <w:name w:val="xl47"/>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33">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34">
    <w:name w:val="xl49"/>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335">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36">
    <w:name w:val="xl51"/>
    <w:basedOn w:val="1"/>
    <w:qFormat/>
    <w:uiPriority w:val="0"/>
    <w:pPr>
      <w:widowControl/>
      <w:spacing w:before="100" w:beforeAutospacing="1" w:after="100" w:afterAutospacing="1"/>
      <w:jc w:val="center"/>
    </w:pPr>
    <w:rPr>
      <w:rFonts w:ascii="仿宋_GB2312" w:hAnsi="宋体" w:eastAsia="仿宋_GB2312" w:cs="Times New Roman"/>
      <w:b/>
      <w:bCs/>
      <w:color w:val="auto"/>
      <w:sz w:val="32"/>
      <w:szCs w:val="32"/>
      <w:lang w:val="en-US" w:eastAsia="zh-CN" w:bidi="ar-SA"/>
    </w:rPr>
  </w:style>
  <w:style w:type="paragraph" w:customStyle="1" w:styleId="337">
    <w:name w:val="xl52"/>
    <w:basedOn w:val="1"/>
    <w:qFormat/>
    <w:uiPriority w:val="0"/>
    <w:pPr>
      <w:widowControl/>
      <w:spacing w:before="100" w:beforeAutospacing="1" w:after="100" w:afterAutospacing="1"/>
      <w:jc w:val="center"/>
    </w:pPr>
    <w:rPr>
      <w:rFonts w:ascii="宋体" w:hAnsi="宋体" w:eastAsia="宋体" w:cs="Times New Roman"/>
      <w:b/>
      <w:bCs/>
      <w:color w:val="auto"/>
      <w:sz w:val="32"/>
      <w:szCs w:val="32"/>
      <w:lang w:val="en-US" w:eastAsia="zh-CN" w:bidi="ar-SA"/>
    </w:rPr>
  </w:style>
  <w:style w:type="paragraph" w:customStyle="1" w:styleId="338">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2"/>
      <w:szCs w:val="22"/>
      <w:lang w:val="en-US" w:eastAsia="zh-CN" w:bidi="ar-SA"/>
    </w:rPr>
  </w:style>
  <w:style w:type="paragraph" w:customStyle="1" w:styleId="339">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sz w:val="21"/>
      <w:szCs w:val="21"/>
      <w:lang w:val="en-US" w:eastAsia="zh-CN" w:bidi="ar-SA"/>
    </w:rPr>
  </w:style>
  <w:style w:type="paragraph" w:customStyle="1" w:styleId="340">
    <w:name w:val="xl5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sz w:val="21"/>
      <w:szCs w:val="21"/>
      <w:lang w:val="en-US" w:eastAsia="zh-CN" w:bidi="ar-SA"/>
    </w:rPr>
  </w:style>
  <w:style w:type="paragraph" w:customStyle="1" w:styleId="341">
    <w:name w:val="xl5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1"/>
      <w:szCs w:val="21"/>
      <w:lang w:val="en-US" w:eastAsia="zh-CN" w:bidi="ar-SA"/>
    </w:rPr>
  </w:style>
  <w:style w:type="paragraph" w:customStyle="1" w:styleId="342">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3">
    <w:name w:val="xl5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4">
    <w:name w:val="xl6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5">
    <w:name w:val="xl6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6">
    <w:name w:val="xl6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7">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8">
    <w:name w:val="xl6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9">
    <w:name w:val="xl65"/>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0">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1">
    <w:name w:val="xl6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52">
    <w:name w:val="xl68"/>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53">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54">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lang w:val="en-US" w:eastAsia="zh-CN" w:bidi="ar-SA"/>
    </w:rPr>
  </w:style>
  <w:style w:type="paragraph" w:customStyle="1" w:styleId="355">
    <w:name w:val="xl7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lang w:val="en-US" w:eastAsia="zh-CN" w:bidi="ar-SA"/>
    </w:rPr>
  </w:style>
  <w:style w:type="paragraph" w:customStyle="1" w:styleId="356">
    <w:name w:val="xl7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lang w:val="en-US" w:eastAsia="zh-CN" w:bidi="ar-SA"/>
    </w:rPr>
  </w:style>
  <w:style w:type="paragraph" w:customStyle="1" w:styleId="357">
    <w:name w:val="xl7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8">
    <w:name w:val="xl7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36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宋体" w:cs="Times New Roman"/>
      <w:color w:val="auto"/>
      <w:sz w:val="21"/>
      <w:szCs w:val="21"/>
      <w:lang w:val="en-US" w:eastAsia="zh-CN" w:bidi="ar-SA"/>
    </w:rPr>
  </w:style>
  <w:style w:type="paragraph" w:customStyle="1" w:styleId="361">
    <w:name w:val="100"/>
    <w:basedOn w:val="280"/>
    <w:qFormat/>
    <w:uiPriority w:val="0"/>
    <w:pPr>
      <w:widowControl w:val="0"/>
      <w:pBdr>
        <w:bottom w:val="none" w:color="auto" w:sz="0" w:space="0"/>
        <w:right w:val="none" w:color="auto" w:sz="0" w:space="0"/>
      </w:pBdr>
      <w:spacing w:before="0" w:beforeAutospacing="0" w:after="0" w:afterAutospacing="0"/>
      <w:ind w:left="4082" w:leftChars="1944"/>
    </w:pPr>
    <w:rPr>
      <w:rFonts w:eastAsia="仿宋_GB2312"/>
      <w:kern w:val="2"/>
      <w:szCs w:val="24"/>
    </w:rPr>
  </w:style>
  <w:style w:type="paragraph" w:customStyle="1" w:styleId="362">
    <w:name w:val="50"/>
    <w:basedOn w:val="361"/>
    <w:qFormat/>
    <w:uiPriority w:val="0"/>
  </w:style>
  <w:style w:type="paragraph" w:customStyle="1" w:styleId="363">
    <w:name w:val="h1"/>
    <w:basedOn w:val="1"/>
    <w:qFormat/>
    <w:uiPriority w:val="0"/>
    <w:pPr>
      <w:widowControl/>
      <w:spacing w:before="100" w:beforeAutospacing="1" w:after="100" w:afterAutospacing="1" w:line="400" w:lineRule="atLeast"/>
    </w:pPr>
    <w:rPr>
      <w:rFonts w:ascii="宋体" w:hAnsi="宋体" w:eastAsia="宋体" w:cs="Times New Roman"/>
      <w:sz w:val="18"/>
      <w:szCs w:val="18"/>
      <w:lang w:val="en-US" w:eastAsia="zh-CN" w:bidi="ar-SA"/>
    </w:rPr>
  </w:style>
  <w:style w:type="paragraph" w:customStyle="1" w:styleId="364">
    <w:name w:val="正文文字缩进1"/>
    <w:basedOn w:val="20"/>
    <w:next w:val="268"/>
    <w:qFormat/>
    <w:uiPriority w:val="0"/>
    <w:pPr>
      <w:snapToGrid w:val="0"/>
      <w:spacing w:line="400" w:lineRule="exact"/>
      <w:ind w:left="964" w:firstLine="493" w:firstLineChars="0"/>
    </w:pPr>
    <w:rPr>
      <w:rFonts w:ascii="Times New Roman" w:hAnsi="Times New Roman"/>
      <w:color w:val="auto"/>
      <w:spacing w:val="8"/>
      <w:kern w:val="24"/>
      <w:sz w:val="24"/>
      <w:szCs w:val="20"/>
    </w:rPr>
  </w:style>
  <w:style w:type="paragraph" w:customStyle="1" w:styleId="365">
    <w:name w:val="正文文字缩进2"/>
    <w:basedOn w:val="364"/>
    <w:next w:val="268"/>
    <w:qFormat/>
    <w:uiPriority w:val="0"/>
    <w:pPr>
      <w:ind w:left="1446" w:firstLine="397"/>
    </w:pPr>
  </w:style>
  <w:style w:type="paragraph" w:customStyle="1" w:styleId="366">
    <w:name w:val="11"/>
    <w:basedOn w:val="1"/>
    <w:next w:val="20"/>
    <w:qFormat/>
    <w:uiPriority w:val="0"/>
    <w:pPr>
      <w:adjustRightInd w:val="0"/>
      <w:snapToGrid w:val="0"/>
      <w:spacing w:line="500" w:lineRule="atLeast"/>
      <w:ind w:firstLine="561"/>
      <w:jc w:val="both"/>
    </w:pPr>
    <w:rPr>
      <w:rFonts w:ascii="楷体_GB2312" w:hAnsi="Times New Roman" w:eastAsia="楷体_GB2312" w:cs="Times New Roman"/>
      <w:color w:val="auto"/>
      <w:kern w:val="2"/>
      <w:sz w:val="28"/>
      <w:szCs w:val="32"/>
      <w:lang w:val="en-US" w:eastAsia="zh-CN" w:bidi="ar-SA"/>
    </w:rPr>
  </w:style>
  <w:style w:type="paragraph" w:customStyle="1" w:styleId="367">
    <w:name w:val="9"/>
    <w:basedOn w:val="1"/>
    <w:next w:val="19"/>
    <w:qFormat/>
    <w:uiPriority w:val="0"/>
    <w:pPr>
      <w:spacing w:beforeLines="100"/>
      <w:jc w:val="both"/>
    </w:pPr>
    <w:rPr>
      <w:rFonts w:ascii="Times New Roman" w:hAnsi="Times New Roman" w:eastAsia="宋体" w:cs="Times New Roman"/>
      <w:color w:val="auto"/>
      <w:kern w:val="2"/>
      <w:sz w:val="28"/>
      <w:lang w:val="en-US" w:eastAsia="zh-CN" w:bidi="ar-SA"/>
    </w:rPr>
  </w:style>
  <w:style w:type="paragraph" w:customStyle="1" w:styleId="368">
    <w:name w:val="8"/>
    <w:basedOn w:val="1"/>
    <w:next w:val="20"/>
    <w:qFormat/>
    <w:uiPriority w:val="0"/>
    <w:pPr>
      <w:ind w:firstLine="538" w:firstLineChars="192"/>
      <w:jc w:val="both"/>
    </w:pPr>
    <w:rPr>
      <w:rFonts w:ascii="宋体" w:hAnsi="宋体" w:eastAsia="宋体" w:cs="Times New Roman"/>
      <w:kern w:val="20"/>
      <w:sz w:val="28"/>
      <w:lang w:val="en-US" w:eastAsia="zh-CN" w:bidi="ar-SA"/>
    </w:rPr>
  </w:style>
  <w:style w:type="paragraph" w:customStyle="1" w:styleId="369">
    <w:name w:val="7"/>
    <w:basedOn w:val="1"/>
    <w:next w:val="20"/>
    <w:qFormat/>
    <w:uiPriority w:val="0"/>
    <w:pPr>
      <w:ind w:firstLine="538" w:firstLineChars="192"/>
      <w:jc w:val="both"/>
    </w:pPr>
    <w:rPr>
      <w:rFonts w:ascii="宋体" w:hAnsi="宋体" w:eastAsia="宋体" w:cs="Times New Roman"/>
      <w:kern w:val="20"/>
      <w:sz w:val="28"/>
      <w:lang w:val="en-US" w:eastAsia="zh-CN" w:bidi="ar-SA"/>
    </w:rPr>
  </w:style>
  <w:style w:type="paragraph" w:customStyle="1" w:styleId="370">
    <w:name w:val="6"/>
    <w:basedOn w:val="1"/>
    <w:next w:val="25"/>
    <w:qFormat/>
    <w:uiPriority w:val="0"/>
    <w:pPr>
      <w:jc w:val="both"/>
    </w:pPr>
    <w:rPr>
      <w:rFonts w:ascii="宋体" w:hAnsi="Courier New" w:eastAsia="宋体" w:cs="Courier New"/>
      <w:color w:val="auto"/>
      <w:kern w:val="2"/>
      <w:sz w:val="21"/>
      <w:szCs w:val="21"/>
      <w:lang w:val="en-US" w:eastAsia="zh-CN" w:bidi="ar-SA"/>
    </w:rPr>
  </w:style>
  <w:style w:type="paragraph" w:customStyle="1" w:styleId="371">
    <w:name w:val="5"/>
    <w:basedOn w:val="1"/>
    <w:next w:val="19"/>
    <w:qFormat/>
    <w:uiPriority w:val="0"/>
    <w:pPr>
      <w:spacing w:beforeLines="100"/>
      <w:jc w:val="both"/>
    </w:pPr>
    <w:rPr>
      <w:rFonts w:ascii="Times New Roman" w:hAnsi="Times New Roman" w:eastAsia="宋体" w:cs="Times New Roman"/>
      <w:color w:val="auto"/>
      <w:kern w:val="2"/>
      <w:sz w:val="28"/>
      <w:lang w:val="en-US" w:eastAsia="zh-CN" w:bidi="ar-SA"/>
    </w:rPr>
  </w:style>
  <w:style w:type="paragraph" w:customStyle="1" w:styleId="372">
    <w:name w:val="4"/>
    <w:basedOn w:val="1"/>
    <w:next w:val="28"/>
    <w:qFormat/>
    <w:uiPriority w:val="0"/>
    <w:pPr>
      <w:ind w:firstLine="538" w:firstLineChars="192"/>
      <w:jc w:val="both"/>
    </w:pPr>
    <w:rPr>
      <w:rFonts w:ascii="Times New Roman" w:hAnsi="Times New Roman" w:eastAsia="宋体" w:cs="Times New Roman"/>
      <w:color w:val="auto"/>
      <w:kern w:val="2"/>
      <w:sz w:val="28"/>
      <w:lang w:val="en-US" w:eastAsia="zh-CN" w:bidi="ar-SA"/>
    </w:rPr>
  </w:style>
  <w:style w:type="paragraph" w:customStyle="1" w:styleId="373">
    <w:name w:val="1"/>
    <w:basedOn w:val="1"/>
    <w:next w:val="20"/>
    <w:qFormat/>
    <w:uiPriority w:val="0"/>
    <w:pPr>
      <w:adjustRightInd w:val="0"/>
      <w:snapToGrid w:val="0"/>
      <w:spacing w:line="500" w:lineRule="atLeast"/>
      <w:ind w:firstLine="561"/>
      <w:jc w:val="both"/>
    </w:pPr>
    <w:rPr>
      <w:rFonts w:ascii="楷体_GB2312" w:hAnsi="Times New Roman" w:eastAsia="楷体_GB2312" w:cs="Times New Roman"/>
      <w:color w:val="auto"/>
      <w:kern w:val="2"/>
      <w:sz w:val="28"/>
      <w:szCs w:val="32"/>
      <w:lang w:val="en-US" w:eastAsia="zh-CN" w:bidi="ar-SA"/>
    </w:rPr>
  </w:style>
  <w:style w:type="paragraph" w:customStyle="1" w:styleId="374">
    <w:name w:val="表文"/>
    <w:qFormat/>
    <w:uiPriority w:val="0"/>
    <w:pPr>
      <w:widowControl/>
      <w:spacing w:line="400" w:lineRule="exact"/>
      <w:jc w:val="center"/>
    </w:pPr>
    <w:rPr>
      <w:rFonts w:ascii="Times New Roman" w:hAnsi="Times New Roman" w:eastAsia="宋体" w:cs="Times New Roman"/>
      <w:sz w:val="21"/>
      <w:szCs w:val="20"/>
      <w:lang w:val="en-US" w:eastAsia="zh-CN" w:bidi="ar-SA"/>
    </w:rPr>
  </w:style>
  <w:style w:type="paragraph" w:customStyle="1" w:styleId="375">
    <w:name w:val="BIG BOLD"/>
    <w:basedOn w:val="1"/>
    <w:qFormat/>
    <w:uiPriority w:val="0"/>
    <w:pPr>
      <w:tabs>
        <w:tab w:val="left" w:leader="underscore" w:pos="1134"/>
      </w:tabs>
      <w:jc w:val="both"/>
    </w:pPr>
    <w:rPr>
      <w:rFonts w:ascii="Times New Roman" w:hAnsi="Times New Roman" w:eastAsia="宋体" w:cs="Times New Roman"/>
      <w:color w:val="auto"/>
      <w:kern w:val="2"/>
      <w:sz w:val="21"/>
      <w:szCs w:val="20"/>
      <w:lang w:val="en-US" w:eastAsia="zh-CN" w:bidi="ar-SA"/>
    </w:rPr>
  </w:style>
  <w:style w:type="paragraph" w:customStyle="1" w:styleId="376">
    <w:name w:val="附录表标题"/>
    <w:next w:val="1"/>
    <w:qFormat/>
    <w:uiPriority w:val="0"/>
    <w:pPr>
      <w:widowControl/>
      <w:numPr>
        <w:ilvl w:val="0"/>
        <w:numId w:val="3"/>
      </w:numPr>
      <w:jc w:val="center"/>
    </w:pPr>
    <w:rPr>
      <w:rFonts w:ascii="黑体" w:hAnsi="Times New Roman" w:eastAsia="黑体" w:cs="Times New Roman"/>
      <w:kern w:val="21"/>
      <w:sz w:val="21"/>
      <w:szCs w:val="20"/>
      <w:lang w:val="en-US" w:eastAsia="zh-CN" w:bidi="ar-SA"/>
    </w:rPr>
  </w:style>
  <w:style w:type="paragraph" w:customStyle="1" w:styleId="377">
    <w:name w:val="Char Char Char Char"/>
    <w:basedOn w:val="1"/>
    <w:qFormat/>
    <w:uiPriority w:val="0"/>
    <w:pPr>
      <w:widowControl/>
      <w:adjustRightInd w:val="0"/>
      <w:spacing w:after="160" w:line="240" w:lineRule="exact"/>
    </w:pPr>
    <w:rPr>
      <w:rFonts w:ascii="Arial" w:hAnsi="Arial" w:eastAsia="Times New Roman" w:cs="Verdana"/>
      <w:b/>
      <w:color w:val="auto"/>
      <w:lang w:val="en-US" w:eastAsia="en-US" w:bidi="ar-SA"/>
    </w:rPr>
  </w:style>
  <w:style w:type="paragraph" w:customStyle="1" w:styleId="378">
    <w:name w:val="样式111"/>
    <w:qFormat/>
    <w:uiPriority w:val="0"/>
    <w:pPr>
      <w:widowControl w:val="0"/>
      <w:adjustRightInd w:val="0"/>
      <w:snapToGrid w:val="0"/>
      <w:spacing w:line="360" w:lineRule="atLeast"/>
      <w:jc w:val="both"/>
    </w:pPr>
    <w:rPr>
      <w:rFonts w:ascii="宋体" w:hAnsi="Times New Roman" w:eastAsia="宋体" w:cs="Times New Roman"/>
      <w:sz w:val="21"/>
      <w:szCs w:val="20"/>
      <w:lang w:val="en-US" w:eastAsia="zh-CN" w:bidi="ar-SA"/>
    </w:rPr>
  </w:style>
  <w:style w:type="paragraph" w:customStyle="1" w:styleId="379">
    <w:name w:val="Char Char Char Char Char Char Char Char Char Char"/>
    <w:basedOn w:val="1"/>
    <w:qFormat/>
    <w:uiPriority w:val="0"/>
    <w:pPr>
      <w:jc w:val="both"/>
    </w:pPr>
    <w:rPr>
      <w:rFonts w:ascii="Times New Roman" w:hAnsi="Times New Roman" w:eastAsia="宋体" w:cs="Times New Roman"/>
      <w:color w:val="auto"/>
      <w:kern w:val="2"/>
      <w:lang w:val="en-US" w:eastAsia="zh-CN" w:bidi="ar-SA"/>
    </w:rPr>
  </w:style>
  <w:style w:type="paragraph" w:customStyle="1" w:styleId="380">
    <w:name w:val="Tblhead"/>
    <w:basedOn w:val="1"/>
    <w:next w:val="1"/>
    <w:qFormat/>
    <w:uiPriority w:val="0"/>
    <w:pPr>
      <w:pageBreakBefore/>
      <w:suppressAutoHyphens/>
      <w:autoSpaceDE w:val="0"/>
      <w:autoSpaceDN w:val="0"/>
      <w:adjustRightInd w:val="0"/>
      <w:jc w:val="center"/>
    </w:pPr>
    <w:rPr>
      <w:rFonts w:ascii="宋体" w:hAnsi="Times New Roman" w:eastAsia="宋体" w:cs="Times New Roman"/>
      <w:color w:val="auto"/>
      <w:spacing w:val="-3"/>
      <w:szCs w:val="20"/>
      <w:lang w:val="en-US" w:eastAsia="zh-CN" w:bidi="ar-SA"/>
    </w:rPr>
  </w:style>
  <w:style w:type="paragraph" w:customStyle="1" w:styleId="381">
    <w:name w:val="样板表头"/>
    <w:basedOn w:val="1"/>
    <w:qFormat/>
    <w:uiPriority w:val="0"/>
    <w:pPr>
      <w:spacing w:line="500" w:lineRule="exact"/>
      <w:jc w:val="both"/>
    </w:pPr>
    <w:rPr>
      <w:rFonts w:ascii="黑体" w:hAnsi="宋体" w:eastAsia="黑体" w:cs="Times New Roman"/>
      <w:bCs/>
      <w:color w:val="auto"/>
      <w:kern w:val="2"/>
      <w:sz w:val="28"/>
      <w:lang w:val="en-US" w:eastAsia="zh-CN" w:bidi="ar-SA"/>
    </w:rPr>
  </w:style>
  <w:style w:type="paragraph" w:customStyle="1" w:styleId="382">
    <w:name w:val="样式 正文文本 + 首行缩进:  2 字符1"/>
    <w:basedOn w:val="19"/>
    <w:qFormat/>
    <w:uiPriority w:val="0"/>
    <w:pPr>
      <w:autoSpaceDE w:val="0"/>
      <w:autoSpaceDN w:val="0"/>
      <w:adjustRightInd w:val="0"/>
      <w:spacing w:line="360" w:lineRule="auto"/>
      <w:ind w:firstLine="200" w:firstLineChars="200"/>
    </w:pPr>
    <w:rPr>
      <w:rFonts w:cs="宋体"/>
      <w:kern w:val="0"/>
      <w:sz w:val="28"/>
      <w:szCs w:val="28"/>
      <w:lang w:val="zh-CN"/>
    </w:rPr>
  </w:style>
  <w:style w:type="paragraph" w:customStyle="1" w:styleId="383">
    <w:name w:val="正文样式1"/>
    <w:basedOn w:val="1"/>
    <w:qFormat/>
    <w:uiPriority w:val="0"/>
    <w:pPr>
      <w:jc w:val="both"/>
    </w:pPr>
    <w:rPr>
      <w:rFonts w:ascii="Times New Roman" w:hAnsi="Times New Roman" w:eastAsia="宋体" w:cs="Times New Roman"/>
      <w:color w:val="auto"/>
      <w:kern w:val="2"/>
      <w:sz w:val="28"/>
      <w:lang w:val="en-US" w:eastAsia="zh-CN" w:bidi="ar-SA"/>
    </w:rPr>
  </w:style>
  <w:style w:type="paragraph" w:customStyle="1" w:styleId="384">
    <w:name w:val="样式 宋体 四号"/>
    <w:basedOn w:val="1"/>
    <w:qFormat/>
    <w:uiPriority w:val="0"/>
    <w:pPr>
      <w:ind w:firstLine="560" w:firstLineChars="200"/>
      <w:jc w:val="both"/>
    </w:pPr>
    <w:rPr>
      <w:rFonts w:ascii="宋体" w:hAnsi="宋体" w:eastAsia="宋体" w:cs="宋体"/>
      <w:color w:val="auto"/>
      <w:kern w:val="2"/>
      <w:sz w:val="28"/>
      <w:szCs w:val="20"/>
      <w:lang w:val="en-US" w:eastAsia="zh-CN" w:bidi="ar-SA"/>
    </w:rPr>
  </w:style>
  <w:style w:type="paragraph" w:customStyle="1" w:styleId="385">
    <w:name w:val="样式 样式 样式1 + 首行缩进:  2 字符 + 首行缩进:  2 字符"/>
    <w:basedOn w:val="1"/>
    <w:qFormat/>
    <w:uiPriority w:val="0"/>
    <w:pPr>
      <w:spacing w:line="360" w:lineRule="auto"/>
      <w:ind w:firstLine="200" w:firstLineChars="200"/>
      <w:jc w:val="both"/>
    </w:pPr>
    <w:rPr>
      <w:rFonts w:ascii="Times New Roman" w:hAnsi="Times New Roman" w:eastAsia="宋体" w:cs="宋体"/>
      <w:color w:val="auto"/>
      <w:kern w:val="2"/>
      <w:sz w:val="28"/>
      <w:szCs w:val="28"/>
      <w:lang w:val="en-US" w:eastAsia="zh-CN" w:bidi="ar-SA"/>
    </w:rPr>
  </w:style>
  <w:style w:type="paragraph" w:customStyle="1" w:styleId="386">
    <w:name w:val="样式1"/>
    <w:basedOn w:val="1"/>
    <w:qFormat/>
    <w:uiPriority w:val="0"/>
    <w:pPr>
      <w:spacing w:line="360" w:lineRule="auto"/>
      <w:ind w:firstLine="200" w:firstLineChars="200"/>
      <w:jc w:val="both"/>
    </w:pPr>
    <w:rPr>
      <w:rFonts w:ascii="Times New Roman" w:hAnsi="Times New Roman" w:eastAsia="宋体" w:cs="Times New Roman"/>
      <w:color w:val="auto"/>
      <w:kern w:val="2"/>
      <w:sz w:val="28"/>
      <w:lang w:val="en-US" w:eastAsia="zh-CN" w:bidi="ar-SA"/>
    </w:rPr>
  </w:style>
  <w:style w:type="paragraph" w:customStyle="1" w:styleId="387">
    <w:name w:val="首行缩进"/>
    <w:basedOn w:val="1"/>
    <w:qFormat/>
    <w:uiPriority w:val="0"/>
    <w:pPr>
      <w:ind w:firstLine="200" w:firstLineChars="200"/>
      <w:jc w:val="both"/>
    </w:pPr>
    <w:rPr>
      <w:rFonts w:ascii="Times New Roman" w:hAnsi="Times New Roman" w:eastAsia="仿宋_GB2312" w:cs="Times New Roman"/>
      <w:color w:val="auto"/>
      <w:kern w:val="2"/>
      <w:sz w:val="28"/>
      <w:szCs w:val="28"/>
      <w:lang w:val="en-US" w:eastAsia="zh-CN" w:bidi="ar-SA"/>
    </w:rPr>
  </w:style>
  <w:style w:type="paragraph" w:customStyle="1" w:styleId="388">
    <w:name w:val="样式 样式 样式 正文文本 + 首行缩进:  2 字符1 + 首行缩进:  2 字符1 + 首行缩进:  2 字符"/>
    <w:basedOn w:val="1"/>
    <w:qFormat/>
    <w:uiPriority w:val="0"/>
    <w:pPr>
      <w:autoSpaceDE w:val="0"/>
      <w:autoSpaceDN w:val="0"/>
      <w:adjustRightInd w:val="0"/>
      <w:spacing w:line="360" w:lineRule="auto"/>
      <w:ind w:firstLine="200" w:firstLineChars="200"/>
      <w:jc w:val="both"/>
    </w:pPr>
    <w:rPr>
      <w:rFonts w:ascii="Times New Roman" w:hAnsi="Times New Roman" w:eastAsia="宋体" w:cs="宋体"/>
      <w:color w:val="auto"/>
      <w:sz w:val="28"/>
      <w:szCs w:val="20"/>
      <w:lang w:val="zh-CN" w:eastAsia="zh-CN" w:bidi="ar-SA"/>
    </w:rPr>
  </w:style>
  <w:style w:type="paragraph" w:customStyle="1" w:styleId="389">
    <w:name w:val="样式 标题 2节2h2l22nd levelTitre2Header 2节标题 1.1标题 2 Char1标..."/>
    <w:basedOn w:val="4"/>
    <w:qFormat/>
    <w:uiPriority w:val="0"/>
    <w:pPr>
      <w:spacing w:before="240" w:after="240" w:line="360" w:lineRule="auto"/>
    </w:pPr>
    <w:rPr>
      <w:rFonts w:ascii="Times New Roman" w:hAnsi="Times New Roman"/>
      <w:b w:val="0"/>
      <w:bCs w:val="0"/>
      <w:color w:val="000000"/>
      <w:sz w:val="28"/>
      <w:szCs w:val="28"/>
    </w:rPr>
  </w:style>
  <w:style w:type="paragraph" w:customStyle="1" w:styleId="390">
    <w:name w:val="样式 样式 样式 样式 正文文本 + 首行缩进:  2 字符1 + 首行缩进:  2 字符1 + 首行缩进:  2 字符 + 首..."/>
    <w:basedOn w:val="388"/>
    <w:qFormat/>
    <w:uiPriority w:val="0"/>
    <w:rPr>
      <w:szCs w:val="28"/>
    </w:rPr>
  </w:style>
  <w:style w:type="paragraph" w:customStyle="1" w:styleId="391">
    <w:name w:val="样式3"/>
    <w:basedOn w:val="386"/>
    <w:qFormat/>
    <w:uiPriority w:val="0"/>
    <w:pPr>
      <w:ind w:firstLine="0" w:firstLineChars="0"/>
    </w:pPr>
  </w:style>
  <w:style w:type="paragraph" w:customStyle="1" w:styleId="392">
    <w:name w:val="样式4"/>
    <w:basedOn w:val="1"/>
    <w:qFormat/>
    <w:uiPriority w:val="0"/>
    <w:pPr>
      <w:spacing w:line="440" w:lineRule="exact"/>
      <w:jc w:val="center"/>
    </w:pPr>
    <w:rPr>
      <w:rFonts w:ascii="Times New Roman" w:hAnsi="Times New Roman" w:eastAsia="宋体" w:cs="Times New Roman"/>
      <w:color w:val="auto"/>
      <w:kern w:val="2"/>
      <w:lang w:val="en-US" w:eastAsia="zh-CN" w:bidi="ar-SA"/>
    </w:rPr>
  </w:style>
  <w:style w:type="paragraph" w:customStyle="1" w:styleId="393">
    <w:name w:val="样式5"/>
    <w:basedOn w:val="1"/>
    <w:qFormat/>
    <w:uiPriority w:val="0"/>
    <w:pPr>
      <w:spacing w:line="440" w:lineRule="exact"/>
      <w:jc w:val="both"/>
    </w:pPr>
    <w:rPr>
      <w:rFonts w:ascii="Times New Roman" w:hAnsi="Times New Roman" w:eastAsia="宋体" w:cs="Times New Roman"/>
      <w:color w:val="auto"/>
      <w:kern w:val="2"/>
      <w:lang w:val="en-US" w:eastAsia="zh-CN" w:bidi="ar-SA"/>
    </w:rPr>
  </w:style>
  <w:style w:type="character" w:customStyle="1" w:styleId="394">
    <w:name w:val="样式7 Char Char"/>
    <w:link w:val="395"/>
    <w:qFormat/>
    <w:locked/>
    <w:uiPriority w:val="0"/>
    <w:rPr>
      <w:rFonts w:ascii="宋体" w:hAnsi="宋体" w:eastAsia="宋体"/>
      <w:kern w:val="2"/>
      <w:sz w:val="28"/>
      <w:lang w:val="en-US" w:eastAsia="zh-CN" w:bidi="ar-SA"/>
    </w:rPr>
  </w:style>
  <w:style w:type="paragraph" w:customStyle="1" w:styleId="395">
    <w:name w:val="样式7"/>
    <w:basedOn w:val="1"/>
    <w:link w:val="394"/>
    <w:qFormat/>
    <w:uiPriority w:val="0"/>
    <w:pPr>
      <w:spacing w:beforeLines="100" w:line="360" w:lineRule="auto"/>
      <w:ind w:firstLine="560" w:firstLineChars="200"/>
      <w:jc w:val="center"/>
    </w:pPr>
    <w:rPr>
      <w:rFonts w:hint="eastAsia" w:ascii="宋体" w:hAnsi="宋体" w:eastAsia="宋体"/>
      <w:color w:val="auto"/>
      <w:kern w:val="2"/>
      <w:sz w:val="28"/>
      <w:lang w:val="en-US" w:eastAsia="zh-CN" w:bidi="ar-SA"/>
    </w:rPr>
  </w:style>
  <w:style w:type="paragraph" w:customStyle="1" w:styleId="396">
    <w:name w:val="样式 标题 3 + 左侧:  0.75 厘米 首行缩进:  0 厘米 段前: 1 行 段后: 0.5 行1"/>
    <w:basedOn w:val="5"/>
    <w:next w:val="14"/>
    <w:qFormat/>
    <w:uiPriority w:val="0"/>
    <w:pPr>
      <w:adjustRightInd w:val="0"/>
      <w:snapToGrid w:val="0"/>
      <w:spacing w:beforeLines="100" w:afterLines="50" w:line="360" w:lineRule="auto"/>
      <w:ind w:firstLine="560" w:firstLineChars="200"/>
      <w:jc w:val="left"/>
    </w:pPr>
    <w:rPr>
      <w:rFonts w:ascii="宋体" w:hAnsi="宋体"/>
      <w:b w:val="0"/>
      <w:kern w:val="0"/>
      <w:sz w:val="28"/>
      <w:szCs w:val="20"/>
    </w:rPr>
  </w:style>
  <w:style w:type="paragraph" w:customStyle="1" w:styleId="397">
    <w:name w:val="样式 标题 3 + 左侧:  0.75 厘米 首行缩进:  0 厘米 段前: 1 行 段后: 0.5 行"/>
    <w:basedOn w:val="5"/>
    <w:qFormat/>
    <w:uiPriority w:val="0"/>
    <w:pPr>
      <w:tabs>
        <w:tab w:val="left" w:pos="360"/>
      </w:tabs>
      <w:adjustRightInd w:val="0"/>
      <w:snapToGrid w:val="0"/>
      <w:spacing w:beforeLines="100" w:afterLines="50" w:line="360" w:lineRule="auto"/>
      <w:ind w:firstLine="200" w:firstLineChars="200"/>
      <w:jc w:val="left"/>
    </w:pPr>
    <w:rPr>
      <w:rFonts w:ascii="宋体" w:hAnsi="宋体"/>
      <w:b w:val="0"/>
      <w:kern w:val="0"/>
      <w:sz w:val="28"/>
      <w:szCs w:val="20"/>
    </w:rPr>
  </w:style>
  <w:style w:type="paragraph" w:customStyle="1" w:styleId="398">
    <w:name w:val="正文首行缩进 21"/>
    <w:basedOn w:val="1"/>
    <w:link w:val="399"/>
    <w:qFormat/>
    <w:uiPriority w:val="0"/>
    <w:pPr>
      <w:jc w:val="both"/>
    </w:pPr>
    <w:rPr>
      <w:rFonts w:ascii="Times New Roman" w:hAnsi="Times New Roman" w:eastAsia="宋体" w:cs="Times New Roman"/>
      <w:kern w:val="2"/>
      <w:sz w:val="21"/>
      <w:lang w:val="en-US" w:eastAsia="zh-CN" w:bidi="ar-SA"/>
    </w:rPr>
  </w:style>
  <w:style w:type="character" w:customStyle="1" w:styleId="399">
    <w:name w:val="正文首行缩进 2 Char"/>
    <w:basedOn w:val="266"/>
    <w:link w:val="398"/>
    <w:qFormat/>
    <w:locked/>
    <w:uiPriority w:val="0"/>
    <w:rPr>
      <w:rFonts w:ascii="Times New Roman" w:hAnsi="Times New Roman" w:eastAsia="宋体" w:cs="Times New Roman"/>
      <w:color w:val="000000"/>
      <w:kern w:val="2"/>
      <w:sz w:val="21"/>
      <w:lang w:val="en-US" w:eastAsia="zh-CN" w:bidi="ar-SA"/>
    </w:rPr>
  </w:style>
  <w:style w:type="paragraph" w:customStyle="1" w:styleId="400">
    <w:name w:val="样式 标题 1 + 首行缩进:  2 字符"/>
    <w:basedOn w:val="3"/>
    <w:next w:val="398"/>
    <w:qFormat/>
    <w:uiPriority w:val="0"/>
    <w:pPr>
      <w:tabs>
        <w:tab w:val="left" w:pos="425"/>
      </w:tabs>
      <w:spacing w:before="340" w:line="576" w:lineRule="auto"/>
      <w:ind w:left="425" w:hanging="425" w:firstLineChars="1200"/>
    </w:pPr>
    <w:rPr>
      <w:rFonts w:ascii="宋体" w:hAnsi="宋体" w:eastAsia="宋体"/>
      <w:b/>
      <w:bCs/>
      <w:snapToGrid/>
      <w:kern w:val="32"/>
      <w:szCs w:val="20"/>
    </w:rPr>
  </w:style>
  <w:style w:type="paragraph" w:customStyle="1" w:styleId="401">
    <w:name w:val="样式 样式 标题 1 + 首行缩进:  2 字符 + (西文) 宋体"/>
    <w:basedOn w:val="400"/>
    <w:qFormat/>
    <w:uiPriority w:val="0"/>
    <w:pPr>
      <w:pageBreakBefore/>
      <w:tabs>
        <w:tab w:val="left" w:pos="555"/>
        <w:tab w:val="clear" w:pos="425"/>
      </w:tabs>
      <w:ind w:left="555" w:hanging="555"/>
    </w:pPr>
  </w:style>
  <w:style w:type="paragraph" w:customStyle="1" w:styleId="402">
    <w:name w:val="样式6"/>
    <w:basedOn w:val="1"/>
    <w:qFormat/>
    <w:uiPriority w:val="0"/>
    <w:pPr>
      <w:spacing w:line="360" w:lineRule="auto"/>
      <w:ind w:firstLine="200" w:firstLineChars="200"/>
      <w:jc w:val="both"/>
    </w:pPr>
    <w:rPr>
      <w:rFonts w:ascii="Times New Roman" w:hAnsi="Times New Roman" w:eastAsia="宋体" w:cs="Times New Roman"/>
      <w:color w:val="auto"/>
      <w:kern w:val="2"/>
      <w:sz w:val="28"/>
      <w:lang w:val="en-US" w:eastAsia="zh-CN" w:bidi="ar-SA"/>
    </w:rPr>
  </w:style>
  <w:style w:type="paragraph" w:customStyle="1" w:styleId="403">
    <w:name w:val="表题"/>
    <w:qFormat/>
    <w:uiPriority w:val="0"/>
    <w:pPr>
      <w:widowControl w:val="0"/>
      <w:spacing w:line="360" w:lineRule="auto"/>
      <w:jc w:val="center"/>
    </w:pPr>
    <w:rPr>
      <w:rFonts w:ascii="Times New Roman" w:hAnsi="Times New Roman" w:eastAsia="楷体_GB2312" w:cs="Times New Roman"/>
      <w:b/>
      <w:sz w:val="32"/>
      <w:szCs w:val="20"/>
      <w:lang w:val="en-US" w:eastAsia="zh-CN" w:bidi="ar-SA"/>
    </w:rPr>
  </w:style>
  <w:style w:type="paragraph" w:customStyle="1" w:styleId="404">
    <w:name w:val="图表五号"/>
    <w:basedOn w:val="1"/>
    <w:qFormat/>
    <w:uiPriority w:val="0"/>
    <w:pPr>
      <w:autoSpaceDE w:val="0"/>
      <w:autoSpaceDN w:val="0"/>
      <w:adjustRightInd w:val="0"/>
      <w:snapToGrid w:val="0"/>
      <w:spacing w:line="20" w:lineRule="atLeast"/>
      <w:jc w:val="center"/>
    </w:pPr>
    <w:rPr>
      <w:rFonts w:ascii="Times New Roman" w:hAnsi="Times New Roman" w:eastAsia="宋体" w:cs="Times New Roman"/>
      <w:color w:val="auto"/>
      <w:kern w:val="2"/>
      <w:sz w:val="21"/>
      <w:szCs w:val="20"/>
      <w:lang w:val="en-US" w:eastAsia="zh-CN" w:bidi="ar-SA"/>
    </w:rPr>
  </w:style>
  <w:style w:type="paragraph" w:customStyle="1" w:styleId="405">
    <w:name w:val="图题"/>
    <w:basedOn w:val="1"/>
    <w:qFormat/>
    <w:uiPriority w:val="0"/>
    <w:pPr>
      <w:spacing w:line="480" w:lineRule="exact"/>
      <w:ind w:firstLine="200" w:firstLineChars="200"/>
      <w:jc w:val="center"/>
    </w:pPr>
    <w:rPr>
      <w:rFonts w:ascii="Arial" w:hAnsi="Arial" w:eastAsia="黑体" w:cs="Times New Roman"/>
      <w:color w:val="auto"/>
      <w:kern w:val="2"/>
      <w:sz w:val="28"/>
      <w:lang w:val="en-US" w:eastAsia="zh-CN" w:bidi="ar-SA"/>
    </w:rPr>
  </w:style>
  <w:style w:type="paragraph" w:customStyle="1" w:styleId="406">
    <w:name w:val="图文1"/>
    <w:qFormat/>
    <w:uiPriority w:val="0"/>
    <w:pPr>
      <w:widowControl/>
      <w:spacing w:line="200" w:lineRule="exact"/>
      <w:jc w:val="center"/>
    </w:pPr>
    <w:rPr>
      <w:rFonts w:ascii="Times New Roman" w:hAnsi="Times New Roman" w:eastAsia="楷体_GB2312" w:cs="Times New Roman"/>
      <w:sz w:val="21"/>
      <w:szCs w:val="20"/>
      <w:lang w:val="en-US" w:eastAsia="zh-CN" w:bidi="ar-SA"/>
    </w:rPr>
  </w:style>
  <w:style w:type="paragraph" w:customStyle="1" w:styleId="407">
    <w:name w:val="表注"/>
    <w:qFormat/>
    <w:uiPriority w:val="0"/>
    <w:pPr>
      <w:widowControl/>
      <w:spacing w:afterLines="50" w:line="360" w:lineRule="auto"/>
      <w:ind w:firstLine="200" w:firstLineChars="200"/>
    </w:pPr>
    <w:rPr>
      <w:rFonts w:ascii="Times New Roman" w:hAnsi="Times New Roman" w:eastAsia="楷体_GB2312" w:cs="Times New Roman"/>
      <w:sz w:val="24"/>
      <w:szCs w:val="20"/>
      <w:lang w:val="en-US" w:eastAsia="zh-CN" w:bidi="ar-SA"/>
    </w:rPr>
  </w:style>
  <w:style w:type="paragraph" w:customStyle="1" w:styleId="408">
    <w:name w:val="样式11"/>
    <w:basedOn w:val="1"/>
    <w:qFormat/>
    <w:uiPriority w:val="0"/>
    <w:pPr>
      <w:spacing w:line="360" w:lineRule="auto"/>
      <w:ind w:firstLine="200" w:firstLineChars="200"/>
      <w:jc w:val="both"/>
    </w:pPr>
    <w:rPr>
      <w:rFonts w:ascii="Times New Roman" w:hAnsi="Times New Roman" w:eastAsia="宋体" w:cs="Times New Roman"/>
      <w:kern w:val="2"/>
      <w:sz w:val="28"/>
      <w:lang w:val="en-US" w:eastAsia="zh-CN" w:bidi="ar-SA"/>
    </w:rPr>
  </w:style>
  <w:style w:type="paragraph" w:customStyle="1" w:styleId="409">
    <w:name w:val="样式 标题 3 + 首行缩进:  2 字符"/>
    <w:basedOn w:val="5"/>
    <w:qFormat/>
    <w:uiPriority w:val="0"/>
    <w:pPr>
      <w:spacing w:before="240" w:after="240" w:line="360" w:lineRule="auto"/>
      <w:ind w:firstLine="200" w:firstLineChars="200"/>
    </w:pPr>
    <w:rPr>
      <w:rFonts w:eastAsia="黑体" w:cs="宋体"/>
      <w:b w:val="0"/>
      <w:bCs w:val="0"/>
      <w:sz w:val="28"/>
      <w:szCs w:val="28"/>
    </w:rPr>
  </w:style>
  <w:style w:type="paragraph" w:customStyle="1" w:styleId="410">
    <w:name w:val="样式 标题 2 + 首行缩进:  2 字符1"/>
    <w:basedOn w:val="4"/>
    <w:qFormat/>
    <w:uiPriority w:val="0"/>
    <w:pPr>
      <w:keepNext w:val="0"/>
      <w:keepLines w:val="0"/>
      <w:widowControl/>
      <w:snapToGrid w:val="0"/>
      <w:spacing w:beforeLines="100" w:afterLines="100" w:line="360" w:lineRule="auto"/>
      <w:jc w:val="center"/>
    </w:pPr>
    <w:rPr>
      <w:rFonts w:ascii="Times New Roman" w:hAnsi="Times New Roman" w:eastAsia="楷体_GB2312" w:cs="宋体"/>
      <w:b w:val="0"/>
      <w:bCs w:val="0"/>
      <w:color w:val="000000"/>
      <w:kern w:val="0"/>
      <w:szCs w:val="28"/>
    </w:rPr>
  </w:style>
  <w:style w:type="paragraph" w:customStyle="1" w:styleId="411">
    <w:name w:val="样式 标题 1标题 1 Char章章标题 1-*+h11st levelSection Headl1 + 行距:..."/>
    <w:basedOn w:val="3"/>
    <w:qFormat/>
    <w:uiPriority w:val="0"/>
    <w:pPr>
      <w:snapToGrid w:val="0"/>
      <w:spacing w:before="240" w:line="360" w:lineRule="auto"/>
    </w:pPr>
    <w:rPr>
      <w:rFonts w:ascii="Times New Roman" w:hAnsi="宋体" w:eastAsia="宋体" w:cs="宋体"/>
      <w:snapToGrid/>
      <w:kern w:val="32"/>
    </w:rPr>
  </w:style>
  <w:style w:type="paragraph" w:customStyle="1" w:styleId="412">
    <w:name w:val="样式 样式 正文文本 + 首行缩进:  2 字符1 + 首行缩进:  2 字符"/>
    <w:basedOn w:val="382"/>
    <w:qFormat/>
    <w:uiPriority w:val="0"/>
    <w:pPr>
      <w:snapToGrid w:val="0"/>
    </w:pPr>
  </w:style>
  <w:style w:type="paragraph" w:customStyle="1" w:styleId="413">
    <w:name w:val="样式 样式 正文文本 + 首行缩进:  2 字符1 + 首行缩进:  2 字符1"/>
    <w:basedOn w:val="382"/>
    <w:qFormat/>
    <w:uiPriority w:val="0"/>
    <w:rPr>
      <w:szCs w:val="20"/>
    </w:rPr>
  </w:style>
  <w:style w:type="paragraph" w:customStyle="1" w:styleId="414">
    <w:name w:val="样式 样式 标题 1标题 1 Char章章标题 1-*+h11st levelSection Headl1 + 行距:... +..."/>
    <w:basedOn w:val="411"/>
    <w:qFormat/>
    <w:uiPriority w:val="0"/>
    <w:pPr>
      <w:snapToGrid/>
    </w:pPr>
    <w:rPr>
      <w:color w:val="000000"/>
    </w:rPr>
  </w:style>
  <w:style w:type="paragraph" w:customStyle="1" w:styleId="415">
    <w:name w:val="样式 正文文字 + 楷体_GB2312 四号 首行缩进:  0.93 厘米"/>
    <w:basedOn w:val="19"/>
    <w:qFormat/>
    <w:uiPriority w:val="0"/>
    <w:pPr>
      <w:widowControl/>
      <w:spacing w:line="560" w:lineRule="exact"/>
      <w:ind w:firstLine="552" w:firstLineChars="200"/>
    </w:pPr>
    <w:rPr>
      <w:rFonts w:ascii="宋体" w:hAnsi="宋体"/>
      <w:spacing w:val="-2"/>
      <w:sz w:val="28"/>
      <w:szCs w:val="28"/>
    </w:rPr>
  </w:style>
  <w:style w:type="paragraph" w:customStyle="1" w:styleId="416">
    <w:name w:val="表格内容"/>
    <w:qFormat/>
    <w:uiPriority w:val="0"/>
    <w:pPr>
      <w:widowControl/>
      <w:jc w:val="both"/>
    </w:pPr>
    <w:rPr>
      <w:rFonts w:ascii="Times New Roman" w:hAnsi="Times New Roman" w:eastAsia="楷体_GB2312" w:cs="Times New Roman"/>
      <w:color w:val="000000"/>
      <w:kern w:val="2"/>
      <w:sz w:val="21"/>
      <w:szCs w:val="24"/>
      <w:lang w:val="en-US" w:eastAsia="zh-CN" w:bidi="ar-SA"/>
    </w:rPr>
  </w:style>
  <w:style w:type="paragraph" w:customStyle="1" w:styleId="417">
    <w:name w:val="样式 标题 2 + 首行缩进:  2 字符"/>
    <w:basedOn w:val="4"/>
    <w:qFormat/>
    <w:uiPriority w:val="0"/>
    <w:pPr>
      <w:keepNext w:val="0"/>
      <w:spacing w:before="120" w:after="120" w:line="480" w:lineRule="exact"/>
      <w:ind w:firstLine="200" w:firstLineChars="200"/>
      <w:jc w:val="left"/>
    </w:pPr>
    <w:rPr>
      <w:rFonts w:ascii="Times New Roman" w:hAnsi="Times New Roman" w:eastAsia="汉鼎简特宋" w:cs="宋体"/>
      <w:b w:val="0"/>
      <w:color w:val="000000"/>
      <w:spacing w:val="6"/>
      <w:sz w:val="28"/>
      <w:szCs w:val="28"/>
    </w:rPr>
  </w:style>
  <w:style w:type="paragraph" w:customStyle="1" w:styleId="418">
    <w:name w:val="样式 正文文字 + 首行缩进:  0.99 厘米"/>
    <w:basedOn w:val="19"/>
    <w:qFormat/>
    <w:uiPriority w:val="0"/>
    <w:pPr>
      <w:spacing w:line="400" w:lineRule="exact"/>
      <w:ind w:firstLine="561"/>
    </w:pPr>
    <w:rPr>
      <w:rFonts w:eastAsia="楷体_GB2312"/>
      <w:kern w:val="0"/>
      <w:sz w:val="28"/>
      <w:szCs w:val="28"/>
    </w:rPr>
  </w:style>
  <w:style w:type="paragraph" w:customStyle="1" w:styleId="419">
    <w:name w:val="gongshi"/>
    <w:basedOn w:val="1"/>
    <w:qFormat/>
    <w:uiPriority w:val="0"/>
    <w:pPr>
      <w:tabs>
        <w:tab w:val="right" w:pos="8400"/>
      </w:tabs>
      <w:wordWrap w:val="0"/>
      <w:spacing w:line="300" w:lineRule="auto"/>
      <w:ind w:left="1200" w:leftChars="1200"/>
    </w:pPr>
    <w:rPr>
      <w:rFonts w:ascii="Times New Roman" w:hAnsi="Times New Roman" w:eastAsia="宋体" w:cs="Times New Roman"/>
      <w:color w:val="auto"/>
      <w:lang w:val="en-US" w:eastAsia="zh-CN" w:bidi="ar-SA"/>
    </w:rPr>
  </w:style>
  <w:style w:type="paragraph" w:customStyle="1" w:styleId="420">
    <w:name w:val="标题3"/>
    <w:qFormat/>
    <w:uiPriority w:val="0"/>
    <w:pPr>
      <w:widowControl/>
      <w:outlineLvl w:val="2"/>
    </w:pPr>
    <w:rPr>
      <w:rFonts w:ascii="Arial" w:hAnsi="Arial" w:eastAsia="黑体" w:cs="Times New Roman"/>
      <w:sz w:val="28"/>
      <w:szCs w:val="20"/>
      <w:lang w:val="en-US" w:eastAsia="zh-CN" w:bidi="ar-SA"/>
    </w:rPr>
  </w:style>
  <w:style w:type="paragraph" w:customStyle="1" w:styleId="421">
    <w:name w:val="项目名称"/>
    <w:basedOn w:val="1"/>
    <w:qFormat/>
    <w:uiPriority w:val="0"/>
    <w:pPr>
      <w:adjustRightInd w:val="0"/>
      <w:spacing w:line="360" w:lineRule="auto"/>
      <w:ind w:firstLine="540"/>
      <w:jc w:val="both"/>
    </w:pPr>
    <w:rPr>
      <w:rFonts w:ascii="宋体" w:hAnsi="宋体" w:eastAsia="宋体" w:cs="Times New Roman"/>
      <w:kern w:val="2"/>
      <w:sz w:val="28"/>
      <w:szCs w:val="28"/>
      <w:lang w:val="en-US" w:eastAsia="zh-CN" w:bidi="ar-SA"/>
    </w:rPr>
  </w:style>
  <w:style w:type="paragraph" w:customStyle="1" w:styleId="422">
    <w:name w:val="a9"/>
    <w:basedOn w:val="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423">
    <w:name w:val="xl122"/>
    <w:basedOn w:val="1"/>
    <w:qFormat/>
    <w:uiPriority w:val="0"/>
    <w:pPr>
      <w:widowControl/>
      <w:pBdr>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auto"/>
      <w:lang w:val="en-US" w:eastAsia="zh-CN" w:bidi="ar-SA"/>
    </w:rPr>
  </w:style>
  <w:style w:type="paragraph" w:customStyle="1" w:styleId="424">
    <w:name w:val="表中文字"/>
    <w:basedOn w:val="1"/>
    <w:qFormat/>
    <w:uiPriority w:val="0"/>
    <w:pPr>
      <w:spacing w:before="60" w:after="60" w:line="360" w:lineRule="auto"/>
      <w:jc w:val="both"/>
    </w:pPr>
    <w:rPr>
      <w:rFonts w:ascii="Times New Roman" w:hAnsi="Times New Roman" w:eastAsia="宋体" w:cs="Times New Roman"/>
      <w:color w:val="auto"/>
      <w:kern w:val="2"/>
      <w:szCs w:val="20"/>
      <w:lang w:val="en-US" w:eastAsia="zh-CN" w:bidi="ar-SA"/>
    </w:rPr>
  </w:style>
  <w:style w:type="paragraph" w:customStyle="1" w:styleId="425">
    <w:name w:val="样式 标题 2 + (西文) Times New Roman (中文) 楷体_GB2312"/>
    <w:basedOn w:val="4"/>
    <w:next w:val="268"/>
    <w:qFormat/>
    <w:uiPriority w:val="0"/>
    <w:pPr>
      <w:spacing w:before="160" w:after="120"/>
    </w:pPr>
    <w:rPr>
      <w:rFonts w:ascii="Times New Roman" w:hAnsi="Times New Roman" w:eastAsia="楷体_GB2312"/>
    </w:rPr>
  </w:style>
  <w:style w:type="paragraph" w:customStyle="1" w:styleId="426">
    <w:name w:val="样式上"/>
    <w:basedOn w:val="1"/>
    <w:qFormat/>
    <w:uiPriority w:val="0"/>
    <w:pPr>
      <w:snapToGrid w:val="0"/>
      <w:jc w:val="center"/>
    </w:pPr>
    <w:rPr>
      <w:rFonts w:ascii="Times New Roman" w:hAnsi="Times New Roman" w:eastAsia="宋体" w:cs="Times New Roman"/>
      <w:color w:val="auto"/>
      <w:kern w:val="2"/>
      <w:sz w:val="28"/>
      <w:szCs w:val="28"/>
      <w:lang w:val="en-US" w:eastAsia="zh-CN" w:bidi="ar-SA"/>
    </w:rPr>
  </w:style>
  <w:style w:type="paragraph" w:customStyle="1" w:styleId="427">
    <w:name w:val="样式 样式 四号 右侧:  -0.26 厘米 + 首行缩进:  2 字符1"/>
    <w:basedOn w:val="1"/>
    <w:qFormat/>
    <w:uiPriority w:val="0"/>
    <w:pPr>
      <w:spacing w:line="360" w:lineRule="auto"/>
      <w:ind w:firstLine="560" w:firstLineChars="200"/>
      <w:jc w:val="both"/>
    </w:pPr>
    <w:rPr>
      <w:rFonts w:ascii="Times New Roman" w:hAnsi="Times New Roman" w:eastAsia="宋体" w:cs="宋体"/>
      <w:color w:val="auto"/>
      <w:kern w:val="2"/>
      <w:sz w:val="28"/>
      <w:szCs w:val="20"/>
      <w:lang w:val="en-US" w:eastAsia="zh-CN" w:bidi="ar-SA"/>
    </w:rPr>
  </w:style>
  <w:style w:type="paragraph" w:customStyle="1" w:styleId="428">
    <w:name w:val="款项"/>
    <w:basedOn w:val="1"/>
    <w:qFormat/>
    <w:uiPriority w:val="0"/>
    <w:pPr>
      <w:spacing w:beforeLines="50" w:afterLines="50"/>
      <w:jc w:val="both"/>
    </w:pPr>
    <w:rPr>
      <w:rFonts w:ascii="黑体" w:hAnsi="Times New Roman" w:eastAsia="黑体" w:cs="Times New Roman"/>
      <w:color w:val="auto"/>
      <w:kern w:val="2"/>
      <w:szCs w:val="21"/>
      <w:lang w:val="en-US" w:eastAsia="zh-CN" w:bidi="ar-SA"/>
    </w:rPr>
  </w:style>
  <w:style w:type="paragraph" w:customStyle="1" w:styleId="429">
    <w:name w:val="封面标准英文名称"/>
    <w:qFormat/>
    <w:uiPriority w:val="0"/>
    <w:pPr>
      <w:widowControl w:val="0"/>
      <w:spacing w:before="370" w:line="400" w:lineRule="exact"/>
      <w:jc w:val="center"/>
    </w:pPr>
    <w:rPr>
      <w:rFonts w:ascii="Times New Roman" w:hAnsi="Times New Roman" w:eastAsia="宋体" w:cs="Times New Roman"/>
      <w:sz w:val="28"/>
      <w:szCs w:val="20"/>
      <w:lang w:val="en-US" w:eastAsia="zh-CN" w:bidi="ar-SA"/>
    </w:rPr>
  </w:style>
  <w:style w:type="paragraph" w:customStyle="1" w:styleId="430">
    <w:name w:val="正文表标题"/>
    <w:next w:val="1"/>
    <w:qFormat/>
    <w:uiPriority w:val="0"/>
    <w:pPr>
      <w:widowControl/>
      <w:tabs>
        <w:tab w:val="left" w:pos="360"/>
      </w:tabs>
      <w:ind w:left="360" w:hanging="360"/>
      <w:jc w:val="center"/>
    </w:pPr>
    <w:rPr>
      <w:rFonts w:ascii="黑体" w:hAnsi="Times New Roman" w:eastAsia="黑体" w:cs="Times New Roman"/>
      <w:sz w:val="21"/>
      <w:szCs w:val="20"/>
      <w:lang w:val="en-US" w:eastAsia="zh-CN" w:bidi="ar-SA"/>
    </w:rPr>
  </w:style>
  <w:style w:type="paragraph" w:customStyle="1" w:styleId="431">
    <w:name w:val="标准"/>
    <w:basedOn w:val="1"/>
    <w:qFormat/>
    <w:uiPriority w:val="0"/>
    <w:pPr>
      <w:tabs>
        <w:tab w:val="left" w:pos="2700"/>
      </w:tabs>
      <w:adjustRightInd w:val="0"/>
      <w:spacing w:line="560" w:lineRule="atLeast"/>
      <w:jc w:val="both"/>
    </w:pPr>
    <w:rPr>
      <w:rFonts w:ascii="Times New Roman" w:hAnsi="Times New Roman" w:eastAsia="宋体" w:cs="Times New Roman"/>
      <w:color w:val="auto"/>
      <w:spacing w:val="20"/>
      <w:sz w:val="28"/>
      <w:szCs w:val="20"/>
      <w:lang w:val="en-US" w:eastAsia="zh-CN" w:bidi="ar-SA"/>
    </w:rPr>
  </w:style>
  <w:style w:type="paragraph" w:customStyle="1" w:styleId="432">
    <w:name w:val="td2"/>
    <w:basedOn w:val="1"/>
    <w:qFormat/>
    <w:uiPriority w:val="0"/>
    <w:pPr>
      <w:widowControl/>
      <w:spacing w:before="100" w:beforeAutospacing="1" w:after="100" w:afterAutospacing="1"/>
      <w:jc w:val="right"/>
    </w:pPr>
    <w:rPr>
      <w:rFonts w:ascii="宋体" w:hAnsi="宋体" w:eastAsia="宋体" w:cs="Times New Roman"/>
      <w:color w:val="0000FF"/>
      <w:sz w:val="20"/>
      <w:szCs w:val="20"/>
      <w:lang w:val="en-US" w:eastAsia="zh-CN" w:bidi="ar-SA"/>
    </w:rPr>
  </w:style>
  <w:style w:type="paragraph" w:customStyle="1" w:styleId="433">
    <w:name w:val="资料标题"/>
    <w:basedOn w:val="1"/>
    <w:qFormat/>
    <w:uiPriority w:val="0"/>
    <w:pPr>
      <w:jc w:val="both"/>
    </w:pPr>
    <w:rPr>
      <w:rFonts w:ascii="Times New Roman" w:hAnsi="Times New Roman" w:eastAsia="宋体" w:cs="Times New Roman"/>
      <w:b/>
      <w:color w:val="auto"/>
      <w:kern w:val="2"/>
      <w:sz w:val="32"/>
      <w:lang w:val="en-US" w:eastAsia="zh-CN" w:bidi="ar-SA"/>
    </w:rPr>
  </w:style>
  <w:style w:type="paragraph" w:customStyle="1" w:styleId="434">
    <w:name w:val="普通(网站)1"/>
    <w:basedOn w:val="1"/>
    <w:qFormat/>
    <w:uiPriority w:val="0"/>
    <w:pPr>
      <w:widowControl/>
      <w:spacing w:before="100" w:after="100"/>
    </w:pPr>
    <w:rPr>
      <w:rFonts w:ascii="宋体" w:hAnsi="宋体" w:eastAsia="宋体" w:cs="Times New Roman"/>
      <w:color w:val="auto"/>
      <w:szCs w:val="20"/>
      <w:lang w:val="en-US" w:eastAsia="zh-CN" w:bidi="ar-SA"/>
    </w:rPr>
  </w:style>
  <w:style w:type="paragraph" w:customStyle="1" w:styleId="435">
    <w:name w:val="表"/>
    <w:basedOn w:val="1"/>
    <w:qFormat/>
    <w:uiPriority w:val="0"/>
    <w:pPr>
      <w:spacing w:line="440" w:lineRule="exact"/>
    </w:pPr>
    <w:rPr>
      <w:rFonts w:ascii="宋体" w:hAnsi="宋体" w:eastAsia="宋体" w:cs="Times New Roman"/>
      <w:color w:val="auto"/>
      <w:kern w:val="2"/>
      <w:szCs w:val="20"/>
      <w:lang w:val="en-GB" w:eastAsia="zh-CN" w:bidi="ar-SA"/>
    </w:rPr>
  </w:style>
  <w:style w:type="paragraph" w:customStyle="1" w:styleId="436">
    <w:name w:val="表格1"/>
    <w:basedOn w:val="1"/>
    <w:qFormat/>
    <w:uiPriority w:val="0"/>
    <w:pPr>
      <w:adjustRightInd w:val="0"/>
      <w:spacing w:after="120" w:line="20" w:lineRule="atLeast"/>
      <w:jc w:val="center"/>
    </w:pPr>
    <w:rPr>
      <w:rFonts w:ascii="Times New Roman" w:hAnsi="Times New Roman" w:eastAsia="宋体" w:cs="Arial Unicode MS"/>
      <w:sz w:val="21"/>
      <w:szCs w:val="21"/>
      <w:lang w:val="en-US" w:eastAsia="zh-CN" w:bidi="ar-SA"/>
    </w:rPr>
  </w:style>
  <w:style w:type="paragraph" w:customStyle="1" w:styleId="437">
    <w:name w:val="表标题"/>
    <w:basedOn w:val="1"/>
    <w:qFormat/>
    <w:uiPriority w:val="0"/>
    <w:pPr>
      <w:adjustRightInd w:val="0"/>
      <w:spacing w:before="180" w:line="288" w:lineRule="auto"/>
      <w:jc w:val="center"/>
    </w:pPr>
    <w:rPr>
      <w:rFonts w:ascii="Times New Roman" w:hAnsi="Times New Roman" w:eastAsia="宋体" w:cs="Times New Roman"/>
      <w:color w:val="auto"/>
      <w:szCs w:val="20"/>
      <w:lang w:val="en-US" w:eastAsia="zh-CN" w:bidi="ar-SA"/>
    </w:rPr>
  </w:style>
  <w:style w:type="paragraph" w:customStyle="1" w:styleId="438">
    <w:name w:val="标槝1"/>
    <w:basedOn w:val="3"/>
    <w:qFormat/>
    <w:uiPriority w:val="0"/>
    <w:pPr>
      <w:keepNext w:val="0"/>
      <w:keepLines w:val="0"/>
      <w:widowControl/>
      <w:spacing w:line="360" w:lineRule="atLeast"/>
    </w:pPr>
    <w:rPr>
      <w:rFonts w:ascii="宋体" w:hAnsi="宋体" w:eastAsia="宋体"/>
      <w:b/>
      <w:snapToGrid/>
      <w:kern w:val="36"/>
      <w:sz w:val="30"/>
      <w:szCs w:val="48"/>
    </w:rPr>
  </w:style>
  <w:style w:type="paragraph" w:customStyle="1" w:styleId="439">
    <w:name w:val="Char Char Char Char Char Char Char"/>
    <w:basedOn w:val="1"/>
    <w:qFormat/>
    <w:uiPriority w:val="0"/>
    <w:pPr>
      <w:widowControl/>
      <w:spacing w:after="160" w:line="240" w:lineRule="exact"/>
    </w:pPr>
    <w:rPr>
      <w:rFonts w:ascii="Arial" w:hAnsi="Arial" w:eastAsia="Times New Roman" w:cs="Verdana"/>
      <w:b/>
      <w:color w:val="auto"/>
      <w:lang w:val="en-US" w:eastAsia="en-US" w:bidi="ar-SA"/>
    </w:rPr>
  </w:style>
  <w:style w:type="paragraph" w:customStyle="1" w:styleId="440">
    <w:name w:val="_Style 28"/>
    <w:basedOn w:val="1"/>
    <w:qFormat/>
    <w:uiPriority w:val="0"/>
    <w:pPr>
      <w:ind w:firstLine="454"/>
      <w:jc w:val="both"/>
    </w:pPr>
    <w:rPr>
      <w:rFonts w:ascii="Times New Roman" w:hAnsi="Times New Roman" w:eastAsia="宋体" w:cs="Times New Roman"/>
      <w:color w:val="auto"/>
      <w:kern w:val="2"/>
      <w:sz w:val="21"/>
      <w:szCs w:val="20"/>
      <w:lang w:val="en-US" w:eastAsia="zh-CN" w:bidi="ar-SA"/>
    </w:rPr>
  </w:style>
  <w:style w:type="paragraph" w:customStyle="1" w:styleId="441">
    <w:name w:val="网格表 31"/>
    <w:basedOn w:val="3"/>
    <w:next w:val="1"/>
    <w:qFormat/>
    <w:uiPriority w:val="39"/>
    <w:pPr>
      <w:widowControl/>
      <w:adjustRightInd/>
      <w:spacing w:before="480" w:line="276" w:lineRule="auto"/>
      <w:jc w:val="left"/>
      <w:outlineLvl w:val="9"/>
    </w:pPr>
    <w:rPr>
      <w:rFonts w:ascii="Cambria" w:hAnsi="Cambria" w:eastAsia="宋体"/>
      <w:bCs/>
      <w:snapToGrid/>
      <w:color w:val="365F91"/>
      <w:kern w:val="32"/>
      <w:sz w:val="28"/>
      <w:szCs w:val="28"/>
    </w:rPr>
  </w:style>
  <w:style w:type="character" w:customStyle="1" w:styleId="442">
    <w:name w:val="样式 四号 首行缩进:  2 字符 Char"/>
    <w:link w:val="443"/>
    <w:qFormat/>
    <w:locked/>
    <w:uiPriority w:val="0"/>
    <w:rPr>
      <w:rFonts w:ascii="宋体" w:hAnsi="宋体" w:eastAsia="宋体" w:cs="宋体"/>
      <w:kern w:val="2"/>
      <w:sz w:val="28"/>
    </w:rPr>
  </w:style>
  <w:style w:type="paragraph" w:customStyle="1" w:styleId="443">
    <w:name w:val="样式 四号 首行缩进:  2 字符"/>
    <w:basedOn w:val="1"/>
    <w:link w:val="442"/>
    <w:qFormat/>
    <w:uiPriority w:val="0"/>
    <w:pPr>
      <w:ind w:firstLine="560" w:firstLineChars="200"/>
      <w:jc w:val="both"/>
    </w:pPr>
    <w:rPr>
      <w:rFonts w:hint="eastAsia" w:ascii="宋体" w:hAnsi="宋体" w:eastAsia="宋体" w:cs="宋体"/>
      <w:color w:val="auto"/>
      <w:kern w:val="2"/>
      <w:sz w:val="28"/>
    </w:rPr>
  </w:style>
  <w:style w:type="character" w:customStyle="1" w:styleId="444">
    <w:name w:val="样式 Times New Roman Char"/>
    <w:link w:val="445"/>
    <w:qFormat/>
    <w:locked/>
    <w:uiPriority w:val="0"/>
    <w:rPr>
      <w:rFonts w:ascii="宋体" w:hAnsi="宋体" w:eastAsia="宋体" w:cs="宋体"/>
      <w:kern w:val="2"/>
      <w:sz w:val="28"/>
    </w:rPr>
  </w:style>
  <w:style w:type="paragraph" w:customStyle="1" w:styleId="445">
    <w:name w:val="样式 Times New Roman"/>
    <w:basedOn w:val="1"/>
    <w:link w:val="444"/>
    <w:qFormat/>
    <w:uiPriority w:val="0"/>
    <w:pPr>
      <w:ind w:firstLine="200" w:firstLineChars="200"/>
      <w:jc w:val="both"/>
    </w:pPr>
    <w:rPr>
      <w:rFonts w:hint="eastAsia" w:ascii="宋体" w:hAnsi="宋体" w:eastAsia="宋体" w:cs="宋体"/>
      <w:color w:val="auto"/>
      <w:kern w:val="2"/>
      <w:sz w:val="28"/>
    </w:rPr>
  </w:style>
  <w:style w:type="paragraph" w:customStyle="1" w:styleId="446">
    <w:name w:val="列出段落1"/>
    <w:basedOn w:val="1"/>
    <w:qFormat/>
    <w:uiPriority w:val="0"/>
    <w:pPr>
      <w:ind w:firstLine="420" w:firstLineChars="200"/>
      <w:jc w:val="both"/>
    </w:pPr>
    <w:rPr>
      <w:rFonts w:ascii="Calibri" w:hAnsi="Calibri" w:eastAsia="宋体" w:cs="Times New Roman"/>
      <w:color w:val="auto"/>
      <w:kern w:val="2"/>
      <w:sz w:val="21"/>
      <w:szCs w:val="22"/>
      <w:lang w:val="en-US" w:eastAsia="zh-CN" w:bidi="ar-SA"/>
    </w:rPr>
  </w:style>
  <w:style w:type="character" w:customStyle="1" w:styleId="447">
    <w:name w:val="样式 样式2 + 自动设置 Char"/>
    <w:link w:val="448"/>
    <w:qFormat/>
    <w:locked/>
    <w:uiPriority w:val="0"/>
    <w:rPr>
      <w:rFonts w:ascii="宋体" w:hAnsi="宋体" w:eastAsia="宋体"/>
      <w:sz w:val="28"/>
      <w:szCs w:val="28"/>
      <w:lang w:val="en-US" w:eastAsia="zh-CN" w:bidi="ar-SA"/>
    </w:rPr>
  </w:style>
  <w:style w:type="paragraph" w:customStyle="1" w:styleId="448">
    <w:name w:val="样式 样式2 + 自动设置"/>
    <w:basedOn w:val="250"/>
    <w:link w:val="447"/>
    <w:qFormat/>
    <w:uiPriority w:val="0"/>
    <w:pPr>
      <w:tabs>
        <w:tab w:val="clear" w:pos="360"/>
      </w:tabs>
      <w:spacing w:line="600" w:lineRule="exact"/>
      <w:ind w:left="0" w:firstLine="200" w:firstLineChars="200"/>
    </w:pPr>
    <w:rPr>
      <w:rFonts w:hint="eastAsia" w:ascii="宋体" w:hAnsi="宋体" w:cs="Microsoft JhengHei Light"/>
      <w:kern w:val="0"/>
      <w:sz w:val="28"/>
      <w:szCs w:val="28"/>
    </w:rPr>
  </w:style>
  <w:style w:type="paragraph" w:customStyle="1" w:styleId="449">
    <w:name w:val="Char Char Char Char Char Char"/>
    <w:basedOn w:val="1"/>
    <w:qFormat/>
    <w:uiPriority w:val="0"/>
    <w:pPr>
      <w:jc w:val="both"/>
    </w:pPr>
    <w:rPr>
      <w:rFonts w:ascii="Times New Roman" w:hAnsi="Times New Roman" w:eastAsia="宋体" w:cs="Times New Roman"/>
      <w:color w:val="auto"/>
      <w:kern w:val="2"/>
      <w:sz w:val="21"/>
      <w:lang w:val="en-US" w:eastAsia="zh-CN" w:bidi="ar-SA"/>
    </w:rPr>
  </w:style>
  <w:style w:type="character" w:customStyle="1" w:styleId="450">
    <w:name w:val="样式 (西文) Times New Roman 四号 首行缩进:  1.01 厘米 Char Char"/>
    <w:link w:val="451"/>
    <w:qFormat/>
    <w:locked/>
    <w:uiPriority w:val="0"/>
    <w:rPr>
      <w:rFonts w:ascii="仿宋_GB2312" w:hAnsi="宋体" w:eastAsia="宋体" w:cs="宋体"/>
      <w:b/>
      <w:kern w:val="2"/>
      <w:sz w:val="28"/>
      <w:szCs w:val="28"/>
      <w:lang w:val="en-US" w:eastAsia="zh-CN" w:bidi="ar-SA"/>
    </w:rPr>
  </w:style>
  <w:style w:type="paragraph" w:customStyle="1" w:styleId="451">
    <w:name w:val="样式 (西文) Times New Roman 四号 首行缩进:  1.01 厘米"/>
    <w:basedOn w:val="1"/>
    <w:link w:val="450"/>
    <w:qFormat/>
    <w:uiPriority w:val="0"/>
    <w:pPr>
      <w:ind w:firstLine="570"/>
      <w:jc w:val="both"/>
    </w:pPr>
    <w:rPr>
      <w:rFonts w:hint="eastAsia" w:ascii="仿宋_GB2312" w:hAnsi="宋体" w:eastAsia="宋体" w:cs="宋体"/>
      <w:b/>
      <w:color w:val="auto"/>
      <w:kern w:val="2"/>
      <w:sz w:val="28"/>
      <w:szCs w:val="28"/>
      <w:lang w:val="en-US" w:eastAsia="zh-CN" w:bidi="ar-SA"/>
    </w:rPr>
  </w:style>
  <w:style w:type="paragraph" w:customStyle="1" w:styleId="452">
    <w:name w:val="p0"/>
    <w:basedOn w:val="1"/>
    <w:qFormat/>
    <w:uiPriority w:val="0"/>
    <w:pPr>
      <w:widowControl/>
      <w:jc w:val="both"/>
    </w:pPr>
    <w:rPr>
      <w:rFonts w:ascii="Times New Roman" w:hAnsi="Times New Roman" w:eastAsia="宋体" w:cs="Times New Roman"/>
      <w:color w:val="auto"/>
      <w:sz w:val="21"/>
      <w:szCs w:val="21"/>
      <w:lang w:val="en-US" w:eastAsia="zh-CN" w:bidi="ar-SA"/>
    </w:rPr>
  </w:style>
  <w:style w:type="character" w:customStyle="1" w:styleId="453">
    <w:name w:val="样式22 Char Char"/>
    <w:link w:val="454"/>
    <w:qFormat/>
    <w:locked/>
    <w:uiPriority w:val="0"/>
    <w:rPr>
      <w:rFonts w:ascii="宋体" w:hAnsi="宋体" w:eastAsia="宋体" w:cs="宋体"/>
      <w:b/>
      <w:kern w:val="2"/>
      <w:sz w:val="28"/>
      <w:szCs w:val="28"/>
      <w:lang w:val="en-US" w:eastAsia="zh-CN" w:bidi="ar-SA"/>
    </w:rPr>
  </w:style>
  <w:style w:type="paragraph" w:customStyle="1" w:styleId="454">
    <w:name w:val="样式22"/>
    <w:basedOn w:val="1"/>
    <w:link w:val="453"/>
    <w:qFormat/>
    <w:uiPriority w:val="0"/>
    <w:pPr>
      <w:spacing w:line="600" w:lineRule="exact"/>
      <w:ind w:firstLine="560" w:firstLineChars="200"/>
    </w:pPr>
    <w:rPr>
      <w:rFonts w:hint="eastAsia" w:ascii="宋体" w:hAnsi="宋体" w:eastAsia="宋体" w:cs="宋体"/>
      <w:b/>
      <w:color w:val="auto"/>
      <w:kern w:val="2"/>
      <w:sz w:val="28"/>
      <w:szCs w:val="28"/>
      <w:lang w:val="en-US" w:eastAsia="zh-CN" w:bidi="ar-SA"/>
    </w:rPr>
  </w:style>
  <w:style w:type="character" w:customStyle="1" w:styleId="455">
    <w:name w:val="样式 首行缩进:  2 字符 Char Char"/>
    <w:link w:val="456"/>
    <w:qFormat/>
    <w:locked/>
    <w:uiPriority w:val="0"/>
    <w:rPr>
      <w:rFonts w:ascii="宋体" w:hAnsi="宋体" w:eastAsia="宋体" w:cs="宋体"/>
      <w:kern w:val="2"/>
      <w:sz w:val="28"/>
      <w:lang w:val="en-US" w:eastAsia="zh-CN" w:bidi="ar-SA"/>
    </w:rPr>
  </w:style>
  <w:style w:type="paragraph" w:customStyle="1" w:styleId="456">
    <w:name w:val="样式 首行缩进:  2 字符"/>
    <w:basedOn w:val="1"/>
    <w:link w:val="455"/>
    <w:qFormat/>
    <w:uiPriority w:val="0"/>
    <w:pPr>
      <w:ind w:firstLine="560" w:firstLineChars="200"/>
      <w:jc w:val="both"/>
    </w:pPr>
    <w:rPr>
      <w:rFonts w:hint="eastAsia" w:ascii="宋体" w:hAnsi="宋体" w:eastAsia="宋体" w:cs="宋体"/>
      <w:color w:val="auto"/>
      <w:kern w:val="2"/>
      <w:sz w:val="28"/>
      <w:lang w:val="en-US" w:eastAsia="zh-CN" w:bidi="ar-SA"/>
    </w:rPr>
  </w:style>
  <w:style w:type="paragraph" w:customStyle="1" w:styleId="457">
    <w:name w:val="样式28"/>
    <w:basedOn w:val="1"/>
    <w:qFormat/>
    <w:uiPriority w:val="0"/>
    <w:pPr>
      <w:adjustRightInd w:val="0"/>
      <w:snapToGrid w:val="0"/>
      <w:spacing w:line="500" w:lineRule="exact"/>
      <w:ind w:firstLine="560" w:firstLineChars="200"/>
      <w:jc w:val="both"/>
    </w:pPr>
    <w:rPr>
      <w:rFonts w:ascii="宋体" w:hAnsi="宋体" w:eastAsia="宋体" w:cs="Times New Roman"/>
      <w:color w:val="auto"/>
      <w:kern w:val="2"/>
      <w:sz w:val="28"/>
      <w:szCs w:val="21"/>
      <w:lang w:val="en-US" w:eastAsia="zh-CN" w:bidi="ar-SA"/>
    </w:rPr>
  </w:style>
  <w:style w:type="paragraph" w:customStyle="1" w:styleId="458">
    <w:name w:val="表头1"/>
    <w:basedOn w:val="1"/>
    <w:qFormat/>
    <w:uiPriority w:val="0"/>
    <w:pPr>
      <w:jc w:val="center"/>
    </w:pPr>
    <w:rPr>
      <w:rFonts w:ascii="宋体" w:hAnsi="宋体" w:eastAsia="宋体" w:cs="Times New Roman"/>
      <w:color w:val="auto"/>
      <w:kern w:val="2"/>
      <w:sz w:val="28"/>
      <w:szCs w:val="28"/>
      <w:lang w:val="en-US" w:eastAsia="zh-CN" w:bidi="ar-SA"/>
    </w:rPr>
  </w:style>
  <w:style w:type="character" w:customStyle="1" w:styleId="459">
    <w:name w:val="表格内容格式 Char"/>
    <w:link w:val="460"/>
    <w:qFormat/>
    <w:locked/>
    <w:uiPriority w:val="0"/>
    <w:rPr>
      <w:rFonts w:ascii="仿宋_GB2312" w:eastAsia="仿宋_GB2312"/>
      <w:color w:val="000000"/>
      <w:szCs w:val="21"/>
    </w:rPr>
  </w:style>
  <w:style w:type="paragraph" w:customStyle="1" w:styleId="460">
    <w:name w:val="表格内容格式"/>
    <w:basedOn w:val="1"/>
    <w:link w:val="459"/>
    <w:qFormat/>
    <w:uiPriority w:val="0"/>
    <w:pPr>
      <w:tabs>
        <w:tab w:val="left" w:pos="1080"/>
        <w:tab w:val="left" w:pos="2160"/>
      </w:tabs>
      <w:autoSpaceDE w:val="0"/>
      <w:autoSpaceDN w:val="0"/>
      <w:jc w:val="center"/>
    </w:pPr>
    <w:rPr>
      <w:rFonts w:hint="eastAsia" w:ascii="仿宋_GB2312" w:eastAsia="仿宋_GB2312"/>
      <w:szCs w:val="21"/>
    </w:rPr>
  </w:style>
  <w:style w:type="character" w:customStyle="1" w:styleId="461">
    <w:name w:val="页脚 字符1"/>
    <w:qFormat/>
    <w:locked/>
    <w:uiPriority w:val="99"/>
    <w:rPr>
      <w:kern w:val="2"/>
      <w:sz w:val="18"/>
      <w:szCs w:val="18"/>
    </w:rPr>
  </w:style>
  <w:style w:type="character" w:customStyle="1" w:styleId="462">
    <w:name w:val="正文1"/>
    <w:basedOn w:val="48"/>
    <w:qFormat/>
    <w:uiPriority w:val="0"/>
  </w:style>
  <w:style w:type="character" w:customStyle="1" w:styleId="463">
    <w:name w:val="hei121"/>
    <w:qFormat/>
    <w:uiPriority w:val="0"/>
    <w:rPr>
      <w:sz w:val="18"/>
      <w:szCs w:val="18"/>
      <w:u w:val="none"/>
    </w:rPr>
  </w:style>
  <w:style w:type="character" w:customStyle="1" w:styleId="464">
    <w:name w:val="zhenwen141"/>
    <w:qFormat/>
    <w:uiPriority w:val="0"/>
    <w:rPr>
      <w:rFonts w:hint="default" w:ascii="ˎ̥" w:hAnsi="ˎ̥" w:cs="Times New Roman"/>
      <w:sz w:val="28"/>
      <w:szCs w:val="28"/>
    </w:rPr>
  </w:style>
  <w:style w:type="character" w:customStyle="1" w:styleId="465">
    <w:name w:val="style311"/>
    <w:qFormat/>
    <w:uiPriority w:val="0"/>
    <w:rPr>
      <w:b/>
      <w:bCs/>
      <w:color w:val="000000"/>
      <w:sz w:val="18"/>
      <w:szCs w:val="18"/>
    </w:rPr>
  </w:style>
  <w:style w:type="character" w:customStyle="1" w:styleId="466">
    <w:name w:val="ttitle1"/>
    <w:qFormat/>
    <w:uiPriority w:val="0"/>
    <w:rPr>
      <w:spacing w:val="120"/>
      <w:sz w:val="21"/>
      <w:szCs w:val="21"/>
    </w:rPr>
  </w:style>
  <w:style w:type="character" w:customStyle="1" w:styleId="467">
    <w:name w:val="正文文本1"/>
    <w:qFormat/>
    <w:uiPriority w:val="0"/>
    <w:rPr>
      <w:rFonts w:hint="eastAsia" w:ascii="宋体" w:hAnsi="宋体" w:eastAsia="宋体"/>
      <w:color w:val="000000"/>
      <w:kern w:val="2"/>
      <w:sz w:val="28"/>
      <w:szCs w:val="24"/>
      <w:lang w:val="en-US" w:eastAsia="zh-CN" w:bidi="ar-SA"/>
    </w:rPr>
  </w:style>
  <w:style w:type="character" w:customStyle="1" w:styleId="468">
    <w:name w:val="标题1"/>
    <w:basedOn w:val="48"/>
    <w:qFormat/>
    <w:uiPriority w:val="0"/>
  </w:style>
  <w:style w:type="character" w:customStyle="1" w:styleId="469">
    <w:name w:val="title21"/>
    <w:qFormat/>
    <w:uiPriority w:val="0"/>
    <w:rPr>
      <w:rFonts w:hint="default" w:ascii="Tahoma" w:hAnsi="Tahoma" w:cs="Tahoma"/>
      <w:color w:val="333333"/>
      <w:sz w:val="30"/>
      <w:szCs w:val="30"/>
    </w:rPr>
  </w:style>
  <w:style w:type="character" w:customStyle="1" w:styleId="470">
    <w:name w:val="标题 1 Char Char"/>
    <w:qFormat/>
    <w:uiPriority w:val="0"/>
    <w:rPr>
      <w:sz w:val="44"/>
      <w:szCs w:val="36"/>
    </w:rPr>
  </w:style>
  <w:style w:type="character" w:customStyle="1" w:styleId="471">
    <w:name w:val="样式 (中文) 楷体_GB2312 四号"/>
    <w:qFormat/>
    <w:uiPriority w:val="0"/>
    <w:rPr>
      <w:rFonts w:hint="default" w:ascii="Times New Roman" w:hAnsi="Times New Roman" w:eastAsia="楷体_GB2312" w:cs="Times New Roman"/>
      <w:sz w:val="28"/>
      <w:szCs w:val="28"/>
    </w:rPr>
  </w:style>
  <w:style w:type="character" w:customStyle="1" w:styleId="472">
    <w:name w:val="样式 楷体_GB2312 四号"/>
    <w:qFormat/>
    <w:uiPriority w:val="0"/>
    <w:rPr>
      <w:rFonts w:hint="default" w:ascii="Times New Roman" w:hAnsi="Times New Roman" w:eastAsia="楷体_GB2312" w:cs="Times New Roman"/>
      <w:sz w:val="28"/>
      <w:szCs w:val="28"/>
    </w:rPr>
  </w:style>
  <w:style w:type="character" w:customStyle="1" w:styleId="473">
    <w:name w:val="p141"/>
    <w:qFormat/>
    <w:uiPriority w:val="0"/>
    <w:rPr>
      <w:color w:val="333333"/>
      <w:sz w:val="21"/>
      <w:szCs w:val="21"/>
    </w:rPr>
  </w:style>
  <w:style w:type="character" w:customStyle="1" w:styleId="474">
    <w:name w:val="fnrfont1"/>
    <w:qFormat/>
    <w:uiPriority w:val="0"/>
    <w:rPr>
      <w:color w:val="000000"/>
    </w:rPr>
  </w:style>
  <w:style w:type="character" w:customStyle="1" w:styleId="475">
    <w:name w:val="font141"/>
    <w:qFormat/>
    <w:uiPriority w:val="0"/>
    <w:rPr>
      <w:color w:val="333333"/>
      <w:sz w:val="23"/>
      <w:szCs w:val="23"/>
    </w:rPr>
  </w:style>
  <w:style w:type="character" w:customStyle="1" w:styleId="476">
    <w:name w:val="标题2"/>
    <w:basedOn w:val="48"/>
    <w:qFormat/>
    <w:uiPriority w:val="0"/>
  </w:style>
  <w:style w:type="character" w:customStyle="1" w:styleId="477">
    <w:name w:val="news_c_da1"/>
    <w:qFormat/>
    <w:uiPriority w:val="0"/>
    <w:rPr>
      <w:rFonts w:hint="default" w:ascii="ˎ̥" w:hAnsi="ˎ̥" w:cs="Times New Roman"/>
      <w:b/>
      <w:bCs/>
      <w:color w:val="000000"/>
      <w:sz w:val="24"/>
      <w:szCs w:val="24"/>
    </w:rPr>
  </w:style>
  <w:style w:type="character" w:customStyle="1" w:styleId="478">
    <w:name w:val="digest1"/>
    <w:qFormat/>
    <w:uiPriority w:val="0"/>
    <w:rPr>
      <w:color w:val="3A4343"/>
      <w:sz w:val="20"/>
      <w:szCs w:val="20"/>
    </w:rPr>
  </w:style>
  <w:style w:type="character" w:customStyle="1" w:styleId="479">
    <w:name w:val="style11"/>
    <w:qFormat/>
    <w:uiPriority w:val="0"/>
    <w:rPr>
      <w:color w:val="013CA4"/>
    </w:rPr>
  </w:style>
  <w:style w:type="character" w:customStyle="1" w:styleId="480">
    <w:name w:val="t_tag"/>
    <w:basedOn w:val="48"/>
    <w:qFormat/>
    <w:uiPriority w:val="0"/>
  </w:style>
  <w:style w:type="character" w:customStyle="1" w:styleId="481">
    <w:name w:val="Char Char5"/>
    <w:qFormat/>
    <w:uiPriority w:val="0"/>
    <w:rPr>
      <w:rFonts w:hint="eastAsia" w:ascii="仿宋_GB2312" w:hAnsi="宋体" w:eastAsia="宋体"/>
      <w:b/>
      <w:kern w:val="2"/>
      <w:sz w:val="18"/>
      <w:szCs w:val="18"/>
      <w:lang w:val="en-US" w:eastAsia="zh-CN" w:bidi="ar-SA"/>
    </w:rPr>
  </w:style>
  <w:style w:type="character" w:customStyle="1" w:styleId="482">
    <w:name w:val="Char Char6"/>
    <w:qFormat/>
    <w:uiPriority w:val="0"/>
    <w:rPr>
      <w:rFonts w:hint="eastAsia" w:ascii="仿宋_GB2312" w:hAnsi="宋体" w:eastAsia="宋体"/>
      <w:b/>
      <w:kern w:val="2"/>
      <w:sz w:val="18"/>
      <w:szCs w:val="18"/>
      <w:lang w:val="en-US" w:eastAsia="zh-CN" w:bidi="ar-SA"/>
    </w:rPr>
  </w:style>
  <w:style w:type="character" w:customStyle="1" w:styleId="483">
    <w:name w:val="s4 Char"/>
    <w:qFormat/>
    <w:uiPriority w:val="0"/>
    <w:rPr>
      <w:rFonts w:hint="eastAsia" w:ascii="宋体" w:hAnsi="宋体" w:eastAsia="宋体"/>
      <w:kern w:val="2"/>
      <w:sz w:val="21"/>
      <w:szCs w:val="24"/>
      <w:lang w:val="en-US" w:eastAsia="zh-CN" w:bidi="ar-SA"/>
    </w:rPr>
  </w:style>
  <w:style w:type="paragraph" w:customStyle="1" w:styleId="484">
    <w:name w:val="样式8"/>
    <w:basedOn w:val="402"/>
    <w:qFormat/>
    <w:uiPriority w:val="0"/>
    <w:rPr>
      <w:color w:val="000000"/>
    </w:rPr>
  </w:style>
  <w:style w:type="character" w:customStyle="1" w:styleId="485">
    <w:name w:val="页眉 Char"/>
    <w:qFormat/>
    <w:locked/>
    <w:uiPriority w:val="0"/>
    <w:rPr>
      <w:rFonts w:hint="eastAsia" w:ascii="宋体" w:hAnsi="宋体" w:eastAsia="宋体"/>
      <w:kern w:val="2"/>
      <w:sz w:val="18"/>
      <w:szCs w:val="18"/>
      <w:lang w:val="en-US" w:eastAsia="zh-CN" w:bidi="ar-SA"/>
    </w:rPr>
  </w:style>
  <w:style w:type="character" w:customStyle="1" w:styleId="486">
    <w:name w:val="页脚 Char"/>
    <w:qFormat/>
    <w:locked/>
    <w:uiPriority w:val="99"/>
    <w:rPr>
      <w:kern w:val="2"/>
      <w:sz w:val="18"/>
      <w:szCs w:val="18"/>
    </w:rPr>
  </w:style>
  <w:style w:type="paragraph" w:styleId="487">
    <w:name w:val="List Paragraph"/>
    <w:basedOn w:val="1"/>
    <w:qFormat/>
    <w:uiPriority w:val="34"/>
    <w:pPr>
      <w:ind w:firstLine="420" w:firstLineChars="200"/>
    </w:pPr>
  </w:style>
  <w:style w:type="character" w:customStyle="1" w:styleId="488">
    <w:name w:val="普通(网站) Char"/>
    <w:link w:val="41"/>
    <w:qFormat/>
    <w:uiPriority w:val="0"/>
    <w:rPr>
      <w:rFonts w:ascii="宋体" w:hAnsi="宋体" w:eastAsia="宋体" w:cs="宋体"/>
      <w:lang w:val="en-US" w:eastAsia="zh-CN" w:bidi="ar-SA"/>
    </w:rPr>
  </w:style>
  <w:style w:type="character" w:customStyle="1" w:styleId="489">
    <w:name w:val="标题 9 Char"/>
    <w:qFormat/>
    <w:uiPriority w:val="0"/>
    <w:rPr>
      <w:rFonts w:ascii="Arial" w:hAnsi="Arial" w:eastAsia="仿宋_GB2312"/>
      <w:spacing w:val="5"/>
      <w:kern w:val="2"/>
      <w:sz w:val="28"/>
      <w:szCs w:val="28"/>
      <w:lang w:val="en-US" w:eastAsia="zh-CN" w:bidi="ar-SA"/>
    </w:rPr>
  </w:style>
  <w:style w:type="paragraph" w:customStyle="1" w:styleId="490">
    <w:name w:val="zw"/>
    <w:basedOn w:val="1"/>
    <w:qFormat/>
    <w:uiPriority w:val="0"/>
    <w:pPr>
      <w:widowControl/>
      <w:spacing w:before="100" w:beforeAutospacing="1" w:after="100" w:afterAutospacing="1" w:line="440" w:lineRule="atLeast"/>
    </w:pPr>
    <w:rPr>
      <w:rFonts w:ascii="宋体" w:hAnsi="宋体" w:eastAsia="宋体" w:cs="宋体"/>
      <w:color w:val="auto"/>
      <w:sz w:val="22"/>
      <w:szCs w:val="22"/>
      <w:lang w:val="en-US" w:eastAsia="zh-CN" w:bidi="ar-SA"/>
    </w:rPr>
  </w:style>
  <w:style w:type="paragraph" w:customStyle="1" w:styleId="491">
    <w:name w:val="表格文字样式"/>
    <w:basedOn w:val="1"/>
    <w:qFormat/>
    <w:uiPriority w:val="0"/>
    <w:pPr>
      <w:tabs>
        <w:tab w:val="left" w:pos="567"/>
      </w:tabs>
      <w:jc w:val="center"/>
    </w:pPr>
    <w:rPr>
      <w:rFonts w:eastAsia="华文中宋"/>
      <w:spacing w:val="20"/>
      <w:sz w:val="24"/>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oleObject" Target="embeddings/oleObject4.bin"/><Relationship Id="rId17" Type="http://schemas.openxmlformats.org/officeDocument/2006/relationships/oleObject" Target="embeddings/oleObject3.bin"/><Relationship Id="rId16" Type="http://schemas.openxmlformats.org/officeDocument/2006/relationships/image" Target="media/image6.pn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25"/>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40"/>
    <customShpInfo spid="_x0000_s1026"/>
    <customShpInfo spid="_x0000_s1606"/>
    <customShpInfo spid="_x0000_s1605"/>
    <customShpInfo spid="_x0000_s1604"/>
    <customShpInfo spid="_x0000_s1603"/>
    <customShpInfo spid="_x0000_s1602"/>
    <customShpInfo spid="_x0000_s1601"/>
    <customShpInfo spid="_x0000_s1600"/>
    <customShpInfo spid="_x0000_s1599"/>
    <customShpInfo spid="_x0000_s1598"/>
    <customShpInfo spid="_x0000_s1027"/>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28"/>
    <customShpInfo spid="_x0000_s1597"/>
    <customShpInfo spid="_x0000_s1622"/>
    <customShpInfo spid="_x0000_s1621"/>
    <customShpInfo spid="_x0000_s162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53"/>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78"/>
    <customShpInfo spid="_x0000_s1679"/>
    <customShpInfo spid="_x0000_s1680"/>
    <customShpInfo spid="_x0000_s1668"/>
    <customShpInfo spid="_x0000_s1282"/>
    <customShpInfo spid="_x0000_s1283"/>
    <customShpInfo spid="_x0000_s1281"/>
    <customShpInfo spid="_x0000_s1285"/>
    <customShpInfo spid="_x0000_s1286"/>
    <customShpInfo spid="_x0000_s1284"/>
    <customShpInfo spid="_x0000_s1288"/>
    <customShpInfo spid="_x0000_s1289"/>
    <customShpInfo spid="_x0000_s1287"/>
    <customShpInfo spid="_x0000_s1291"/>
    <customShpInfo spid="_x0000_s1292"/>
    <customShpInfo spid="_x0000_s1290"/>
    <customShpInfo spid="_x0000_s1294"/>
    <customShpInfo spid="_x0000_s1295"/>
    <customShpInfo spid="_x0000_s1293"/>
    <customShpInfo spid="_x0000_s1297"/>
    <customShpInfo spid="_x0000_s1298"/>
    <customShpInfo spid="_x0000_s1296"/>
    <customShpInfo spid="_x0000_s1299"/>
    <customShpInfo spid="_x0000_s128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0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C63995-E6B4-40F5-BC5F-81B4825A56D1}">
  <ds:schemaRefs/>
</ds:datastoreItem>
</file>

<file path=docProps/app.xml><?xml version="1.0" encoding="utf-8"?>
<Properties xmlns="http://schemas.openxmlformats.org/officeDocument/2006/extended-properties" xmlns:vt="http://schemas.openxmlformats.org/officeDocument/2006/docPropsVTypes">
  <Template>Normal</Template>
  <Company>zhnang</Company>
  <Pages>260</Pages>
  <Words>17473</Words>
  <Characters>99599</Characters>
  <Lines>829</Lines>
  <Paragraphs>233</Paragraphs>
  <TotalTime>0</TotalTime>
  <ScaleCrop>false</ScaleCrop>
  <LinksUpToDate>false</LinksUpToDate>
  <CharactersWithSpaces>116839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2019-01-09T00:28:00Z</dcterms:created>
  <dc:creator>Administrator</dc:creator>
  <cp:lastModifiedBy>Dragon.Y</cp:lastModifiedBy>
  <cp:lastPrinted>2021-05-13T12:24:00Z</cp:lastPrinted>
  <dcterms:modified xsi:type="dcterms:W3CDTF">2021-08-05T00:24:03Z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027A9D6561664BBE92EB525E3218790C</vt:lpwstr>
  </property>
</Properties>
</file>