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415"/>
        <w:gridCol w:w="2138"/>
        <w:gridCol w:w="2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668" w:type="dxa"/>
            <w:noWrap w:val="0"/>
            <w:vAlign w:val="center"/>
          </w:tcPr>
          <w:p>
            <w:pPr>
              <w:spacing w:line="240" w:lineRule="auto"/>
              <w:jc w:val="center"/>
              <w:rPr>
                <w:rFonts w:hint="default" w:eastAsia="宋体"/>
                <w:sz w:val="18"/>
                <w:szCs w:val="18"/>
                <w:lang w:val="en-US" w:eastAsia="zh-CN"/>
              </w:rPr>
            </w:pPr>
            <w:r>
              <w:rPr>
                <w:rFonts w:hint="eastAsia"/>
                <w:sz w:val="18"/>
                <w:szCs w:val="18"/>
                <w:lang w:val="en-US" w:eastAsia="zh-CN"/>
              </w:rPr>
              <w:t>项目名称</w:t>
            </w:r>
          </w:p>
        </w:tc>
        <w:tc>
          <w:tcPr>
            <w:tcW w:w="6854" w:type="dxa"/>
            <w:gridSpan w:val="3"/>
            <w:noWrap w:val="0"/>
            <w:vAlign w:val="top"/>
          </w:tcPr>
          <w:p>
            <w:pPr>
              <w:spacing w:line="360" w:lineRule="auto"/>
              <w:jc w:val="left"/>
              <w:rPr>
                <w:rFonts w:hint="eastAsia" w:ascii="宋体" w:hAnsi="宋体" w:eastAsia="宋体" w:cs="宋体"/>
                <w:sz w:val="18"/>
                <w:szCs w:val="18"/>
              </w:rPr>
            </w:pPr>
            <w:r>
              <w:rPr>
                <w:rFonts w:hint="eastAsia" w:ascii="宋体" w:hAnsi="宋体" w:eastAsia="宋体" w:cs="宋体"/>
                <w:sz w:val="18"/>
                <w:szCs w:val="18"/>
              </w:rPr>
              <w:t>中国石化销售股份有限公司广东东莞常平东方加油站改建项目安全预评价报告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68" w:type="dxa"/>
            <w:noWrap w:val="0"/>
            <w:vAlign w:val="center"/>
          </w:tcPr>
          <w:p>
            <w:pPr>
              <w:spacing w:line="240" w:lineRule="auto"/>
              <w:jc w:val="center"/>
              <w:rPr>
                <w:rFonts w:hint="eastAsia"/>
                <w:sz w:val="21"/>
                <w:szCs w:val="21"/>
              </w:rPr>
            </w:pPr>
            <w:r>
              <w:rPr>
                <w:rFonts w:hint="eastAsia"/>
                <w:sz w:val="21"/>
                <w:szCs w:val="21"/>
              </w:rPr>
              <w:t>评价类型</w:t>
            </w:r>
          </w:p>
        </w:tc>
        <w:tc>
          <w:tcPr>
            <w:tcW w:w="6854" w:type="dxa"/>
            <w:gridSpan w:val="3"/>
            <w:noWrap w:val="0"/>
            <w:vAlign w:val="top"/>
          </w:tcPr>
          <w:p>
            <w:pPr>
              <w:adjustRightInd w:val="0"/>
              <w:snapToGrid w:val="0"/>
              <w:spacing w:line="360" w:lineRule="auto"/>
              <w:rPr>
                <w:rFonts w:ascii="宋体" w:hAnsi="宋体"/>
                <w:sz w:val="21"/>
                <w:szCs w:val="21"/>
              </w:rPr>
            </w:pPr>
            <w:r>
              <w:rPr>
                <w:rFonts w:hint="eastAsia" w:ascii="宋体" w:hAnsi="宋体"/>
                <w:sz w:val="21"/>
                <w:szCs w:val="21"/>
              </w:rPr>
              <w:sym w:font="Wingdings 2" w:char="0052"/>
            </w:r>
            <w:r>
              <w:rPr>
                <w:rFonts w:hint="eastAsia" w:ascii="宋体" w:hAnsi="宋体"/>
                <w:sz w:val="21"/>
                <w:szCs w:val="21"/>
              </w:rPr>
              <w:t xml:space="preserve">预评价         </w:t>
            </w:r>
            <w:r>
              <w:rPr>
                <w:rFonts w:hint="eastAsia" w:ascii="宋体" w:hAnsi="宋体"/>
                <w:sz w:val="21"/>
                <w:szCs w:val="21"/>
              </w:rPr>
              <w:sym w:font="Wingdings 2" w:char="00A3"/>
            </w:r>
            <w:r>
              <w:rPr>
                <w:rFonts w:hint="eastAsia" w:ascii="宋体" w:hAnsi="宋体"/>
                <w:sz w:val="21"/>
                <w:szCs w:val="21"/>
              </w:rPr>
              <w:t xml:space="preserve">验收评价           □现状评价 </w:t>
            </w:r>
          </w:p>
          <w:p>
            <w:pPr>
              <w:spacing w:line="360" w:lineRule="auto"/>
              <w:jc w:val="both"/>
              <w:rPr>
                <w:rFonts w:hint="eastAsia"/>
                <w:sz w:val="21"/>
                <w:szCs w:val="21"/>
              </w:rPr>
            </w:pPr>
            <w:r>
              <w:rPr>
                <w:rFonts w:hint="eastAsia" w:ascii="宋体" w:hAnsi="宋体"/>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166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项目概况</w:t>
            </w:r>
          </w:p>
        </w:tc>
        <w:tc>
          <w:tcPr>
            <w:tcW w:w="6854" w:type="dxa"/>
            <w:gridSpan w:val="3"/>
            <w:noWrap w:val="0"/>
            <w:vAlign w:val="top"/>
          </w:tcPr>
          <w:p>
            <w:pPr>
              <w:spacing w:line="360" w:lineRule="auto"/>
              <w:rPr>
                <w:rFonts w:hint="eastAsia"/>
                <w:sz w:val="21"/>
                <w:szCs w:val="21"/>
              </w:rPr>
            </w:pPr>
            <w:r>
              <w:rPr>
                <w:rFonts w:hint="eastAsia"/>
                <w:sz w:val="21"/>
                <w:szCs w:val="21"/>
              </w:rPr>
              <w:t>中国石化销售股份有限公司广东东莞常平东方加油站（以下简称“东方加油站”或“该加油站”）原名称为中国石化销售有限公司广东东莞常平东方加油站，位于广东省东莞市常平镇常东路141号101室，成立于2002年12月27日，企业类型属于分公司企业，负责人：江泽彬，统一社会信用代码：9144190007470513918，经营范围：零售：汽油、润滑油、沥青、燃料油、预包装食品（含冷藏冷冻食品）、特殊食品（保健食品、婴幼儿配方乳粉）、卷烟、雪茄烟、纺织、服装、日用品、五金、家用电器及电子产品、充值卡；委托代理收取水电费；票务代理服</w:t>
            </w:r>
            <w:bookmarkStart w:id="0" w:name="_GoBack"/>
            <w:bookmarkEnd w:id="0"/>
            <w:r>
              <w:rPr>
                <w:rFonts w:hint="eastAsia"/>
                <w:sz w:val="21"/>
                <w:szCs w:val="21"/>
              </w:rPr>
              <w:t>务。（依法须经批准的项目，经相关部门批准后方可开展经营活动。）。该加油站设有3个埋地汽油罐40m3×3个，油罐总容积为120m3，根据《汽车加油加气站设计与施工规范》（GB50156-2012，2014年修订版）中第3.0.9条的划分，该加油站属于二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评价结论</w:t>
            </w:r>
          </w:p>
        </w:tc>
        <w:tc>
          <w:tcPr>
            <w:tcW w:w="6854" w:type="dxa"/>
            <w:gridSpan w:val="3"/>
            <w:noWrap w:val="0"/>
            <w:vAlign w:val="top"/>
          </w:tcPr>
          <w:p>
            <w:pPr>
              <w:spacing w:line="560" w:lineRule="exact"/>
              <w:ind w:firstLine="403" w:firstLineChars="192"/>
              <w:rPr>
                <w:rFonts w:hint="eastAsia"/>
                <w:b/>
                <w:sz w:val="21"/>
                <w:szCs w:val="21"/>
              </w:rPr>
            </w:pPr>
            <w:r>
              <w:rPr>
                <w:rFonts w:hint="eastAsia" w:ascii="宋体" w:hAnsi="宋体" w:eastAsia="宋体" w:cs="宋体"/>
                <w:b w:val="0"/>
                <w:bCs w:val="0"/>
                <w:sz w:val="21"/>
                <w:szCs w:val="21"/>
                <w:highlight w:val="none"/>
              </w:rPr>
              <w:t>中国石化销售股份有限公司广东东莞</w:t>
            </w:r>
            <w:r>
              <w:rPr>
                <w:rFonts w:hint="eastAsia" w:ascii="宋体" w:hAnsi="宋体" w:eastAsia="宋体" w:cs="宋体"/>
                <w:b w:val="0"/>
                <w:bCs w:val="0"/>
                <w:sz w:val="21"/>
                <w:szCs w:val="21"/>
                <w:highlight w:val="none"/>
                <w:lang w:eastAsia="zh-CN"/>
              </w:rPr>
              <w:t>常平东方</w:t>
            </w:r>
            <w:r>
              <w:rPr>
                <w:rFonts w:hint="eastAsia" w:ascii="宋体" w:hAnsi="宋体" w:eastAsia="宋体" w:cs="宋体"/>
                <w:b w:val="0"/>
                <w:bCs w:val="0"/>
                <w:sz w:val="21"/>
                <w:szCs w:val="21"/>
                <w:highlight w:val="none"/>
              </w:rPr>
              <w:t>加油站改建项目方案设计合理、可行，通过落实该项目的设计图纸等拟采取的安全对策措施和本报告补充的安全对策措施建议，该加油站改建项目建设后符合我国现行安全生产的相关法律、法规和技术标准、规范的要求，建设项目风险可以接受，符合项目设立的安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66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项目负责人</w:t>
            </w:r>
          </w:p>
        </w:tc>
        <w:tc>
          <w:tcPr>
            <w:tcW w:w="2415" w:type="dxa"/>
            <w:noWrap w:val="0"/>
            <w:vAlign w:val="center"/>
          </w:tcPr>
          <w:p>
            <w:pPr>
              <w:spacing w:line="360" w:lineRule="auto"/>
              <w:jc w:val="center"/>
              <w:rPr>
                <w:rFonts w:hint="eastAsia" w:eastAsia="宋体"/>
                <w:sz w:val="21"/>
                <w:szCs w:val="21"/>
                <w:lang w:eastAsia="zh-CN"/>
              </w:rPr>
            </w:pPr>
            <w:r>
              <w:rPr>
                <w:rFonts w:hint="eastAsia" w:ascii="宋体" w:hAnsi="宋体" w:cs="宋体"/>
                <w:color w:val="000000"/>
                <w:kern w:val="0"/>
                <w:sz w:val="21"/>
                <w:szCs w:val="21"/>
                <w:highlight w:val="none"/>
                <w:lang w:eastAsia="zh-CN"/>
              </w:rPr>
              <w:t>彭书萍</w:t>
            </w:r>
          </w:p>
        </w:tc>
        <w:tc>
          <w:tcPr>
            <w:tcW w:w="213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项目组成员</w:t>
            </w:r>
          </w:p>
        </w:tc>
        <w:tc>
          <w:tcPr>
            <w:tcW w:w="2301" w:type="dxa"/>
            <w:noWrap w:val="0"/>
            <w:vAlign w:val="center"/>
          </w:tcPr>
          <w:p>
            <w:pPr>
              <w:spacing w:line="360" w:lineRule="auto"/>
              <w:jc w:val="both"/>
              <w:rPr>
                <w:rFonts w:hint="eastAsia" w:eastAsia="宋体"/>
                <w:sz w:val="21"/>
                <w:szCs w:val="21"/>
                <w:lang w:eastAsia="zh-CN"/>
              </w:rPr>
            </w:pPr>
            <w:r>
              <w:rPr>
                <w:rFonts w:hint="eastAsia" w:ascii="宋体" w:hAnsi="宋体" w:cs="宋体"/>
                <w:color w:val="000000"/>
                <w:kern w:val="0"/>
                <w:sz w:val="21"/>
                <w:szCs w:val="21"/>
                <w:highlight w:val="none"/>
                <w:lang w:val="en-US" w:eastAsia="zh-CN"/>
              </w:rPr>
              <w:t>黄</w:t>
            </w:r>
            <w:r>
              <w:rPr>
                <w:rFonts w:hint="eastAsia" w:ascii="宋体" w:hAnsi="宋体" w:cs="宋体"/>
                <w:color w:val="000000"/>
                <w:kern w:val="0"/>
                <w:sz w:val="21"/>
                <w:szCs w:val="21"/>
                <w:highlight w:val="none"/>
                <w:lang w:eastAsia="zh-CN"/>
              </w:rPr>
              <w:t>孙、魏少卿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66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报告编写人</w:t>
            </w:r>
          </w:p>
        </w:tc>
        <w:tc>
          <w:tcPr>
            <w:tcW w:w="2415" w:type="dxa"/>
            <w:noWrap w:val="0"/>
            <w:vAlign w:val="center"/>
          </w:tcPr>
          <w:p>
            <w:pPr>
              <w:spacing w:line="360" w:lineRule="auto"/>
              <w:jc w:val="center"/>
              <w:rPr>
                <w:rFonts w:hint="eastAsia" w:eastAsia="宋体"/>
                <w:sz w:val="21"/>
                <w:szCs w:val="21"/>
                <w:lang w:eastAsia="zh-CN"/>
              </w:rPr>
            </w:pPr>
            <w:r>
              <w:rPr>
                <w:rFonts w:hint="eastAsia" w:ascii="宋体" w:hAnsi="宋体" w:cs="宋体"/>
                <w:color w:val="000000"/>
                <w:kern w:val="0"/>
                <w:sz w:val="21"/>
                <w:szCs w:val="21"/>
                <w:highlight w:val="none"/>
                <w:lang w:eastAsia="zh-CN"/>
              </w:rPr>
              <w:t>彭书萍、</w:t>
            </w:r>
            <w:r>
              <w:rPr>
                <w:rFonts w:hint="eastAsia" w:ascii="宋体" w:hAnsi="宋体" w:cs="宋体"/>
                <w:color w:val="000000"/>
                <w:kern w:val="0"/>
                <w:sz w:val="21"/>
                <w:szCs w:val="21"/>
                <w:highlight w:val="none"/>
                <w:lang w:val="en-US" w:eastAsia="zh-CN"/>
              </w:rPr>
              <w:t>黄</w:t>
            </w:r>
            <w:r>
              <w:rPr>
                <w:rFonts w:hint="eastAsia" w:ascii="宋体" w:hAnsi="宋体" w:cs="宋体"/>
                <w:color w:val="000000"/>
                <w:kern w:val="0"/>
                <w:sz w:val="21"/>
                <w:szCs w:val="21"/>
                <w:highlight w:val="none"/>
                <w:lang w:eastAsia="zh-CN"/>
              </w:rPr>
              <w:t>孙、魏少卿</w:t>
            </w:r>
          </w:p>
        </w:tc>
        <w:tc>
          <w:tcPr>
            <w:tcW w:w="213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报告审核人</w:t>
            </w:r>
          </w:p>
        </w:tc>
        <w:tc>
          <w:tcPr>
            <w:tcW w:w="2301" w:type="dxa"/>
            <w:noWrap w:val="0"/>
            <w:vAlign w:val="center"/>
          </w:tcPr>
          <w:p>
            <w:pPr>
              <w:spacing w:line="360" w:lineRule="auto"/>
              <w:ind w:firstLine="896" w:firstLineChars="427"/>
              <w:jc w:val="both"/>
              <w:rPr>
                <w:rFonts w:hint="eastAsia" w:eastAsia="宋体"/>
                <w:sz w:val="21"/>
                <w:szCs w:val="21"/>
                <w:lang w:eastAsia="zh-CN"/>
              </w:rPr>
            </w:pPr>
            <w:r>
              <w:rPr>
                <w:rFonts w:hint="eastAsia" w:ascii="宋体" w:hAnsi="宋体" w:cs="宋体"/>
                <w:color w:val="000000"/>
                <w:kern w:val="0"/>
                <w:sz w:val="21"/>
                <w:szCs w:val="21"/>
                <w:highlight w:val="none"/>
              </w:rPr>
              <w:t>明  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66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技术负责人</w:t>
            </w:r>
          </w:p>
        </w:tc>
        <w:tc>
          <w:tcPr>
            <w:tcW w:w="2415" w:type="dxa"/>
            <w:noWrap w:val="0"/>
            <w:vAlign w:val="center"/>
          </w:tcPr>
          <w:p>
            <w:pPr>
              <w:spacing w:line="360" w:lineRule="auto"/>
              <w:ind w:firstLine="480"/>
              <w:jc w:val="center"/>
              <w:rPr>
                <w:rFonts w:hint="eastAsia" w:eastAsia="宋体"/>
                <w:sz w:val="21"/>
                <w:szCs w:val="21"/>
                <w:lang w:eastAsia="zh-CN"/>
              </w:rPr>
            </w:pPr>
            <w:r>
              <w:rPr>
                <w:rFonts w:hint="eastAsia" w:ascii="宋体" w:hAnsi="宋体" w:cs="宋体"/>
                <w:color w:val="000000"/>
                <w:kern w:val="0"/>
                <w:sz w:val="21"/>
                <w:szCs w:val="21"/>
                <w:highlight w:val="none"/>
              </w:rPr>
              <w:t>孙红军</w:t>
            </w:r>
          </w:p>
        </w:tc>
        <w:tc>
          <w:tcPr>
            <w:tcW w:w="2138" w:type="dxa"/>
            <w:noWrap w:val="0"/>
            <w:vAlign w:val="center"/>
          </w:tcPr>
          <w:p>
            <w:pPr>
              <w:spacing w:line="360" w:lineRule="auto"/>
              <w:jc w:val="center"/>
              <w:rPr>
                <w:rFonts w:hint="default" w:eastAsia="宋体"/>
                <w:sz w:val="21"/>
                <w:szCs w:val="21"/>
                <w:lang w:val="en-US" w:eastAsia="zh-CN"/>
              </w:rPr>
            </w:pPr>
            <w:r>
              <w:rPr>
                <w:rFonts w:hint="eastAsia"/>
                <w:sz w:val="21"/>
                <w:szCs w:val="21"/>
                <w:lang w:val="en-US" w:eastAsia="zh-CN"/>
              </w:rPr>
              <w:t>过控制责任人</w:t>
            </w:r>
          </w:p>
        </w:tc>
        <w:tc>
          <w:tcPr>
            <w:tcW w:w="2301" w:type="dxa"/>
            <w:noWrap w:val="0"/>
            <w:vAlign w:val="center"/>
          </w:tcPr>
          <w:p>
            <w:pPr>
              <w:spacing w:line="360" w:lineRule="auto"/>
              <w:ind w:firstLine="480"/>
              <w:jc w:val="center"/>
              <w:rPr>
                <w:rFonts w:hint="eastAsia" w:eastAsia="宋体"/>
                <w:sz w:val="21"/>
                <w:szCs w:val="21"/>
                <w:lang w:eastAsia="zh-CN"/>
              </w:rPr>
            </w:pPr>
            <w:r>
              <w:rPr>
                <w:rFonts w:hint="eastAsia" w:ascii="宋体" w:hAnsi="宋体" w:cs="宋体"/>
                <w:color w:val="000000"/>
                <w:kern w:val="0"/>
                <w:sz w:val="21"/>
                <w:szCs w:val="21"/>
                <w:highlight w:val="none"/>
              </w:rPr>
              <w:t>乔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668"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6854" w:type="dxa"/>
            <w:gridSpan w:val="3"/>
            <w:noWrap w:val="0"/>
            <w:vAlign w:val="center"/>
          </w:tcPr>
          <w:p>
            <w:pPr>
              <w:pStyle w:val="19"/>
              <w:widowControl w:val="0"/>
              <w:spacing w:before="0" w:beforeAutospacing="0" w:after="0" w:afterAutospacing="0"/>
              <w:jc w:val="both"/>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2020年2月24日</w:t>
            </w:r>
          </w:p>
        </w:tc>
      </w:tr>
    </w:tbl>
    <w:p>
      <w: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D6CCD"/>
    <w:multiLevelType w:val="multilevel"/>
    <w:tmpl w:val="62AD6CCD"/>
    <w:lvl w:ilvl="0" w:tentative="0">
      <w:start w:val="1"/>
      <w:numFmt w:val="decimalEnclosedCircle"/>
      <w:pStyle w:val="2"/>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6"/>
      <w:lvlText w:val="%3."/>
      <w:lvlJc w:val="right"/>
      <w:pPr>
        <w:tabs>
          <w:tab w:val="left" w:pos="1740"/>
        </w:tabs>
        <w:ind w:left="1740" w:hanging="420"/>
      </w:pPr>
      <w:rPr>
        <w:rFonts w:hint="eastAsia"/>
      </w:rPr>
    </w:lvl>
    <w:lvl w:ilvl="3" w:tentative="0">
      <w:start w:val="1"/>
      <w:numFmt w:val="decimal"/>
      <w:pStyle w:val="5"/>
      <w:lvlText w:val="%4."/>
      <w:lvlJc w:val="left"/>
      <w:pPr>
        <w:tabs>
          <w:tab w:val="left" w:pos="2160"/>
        </w:tabs>
        <w:ind w:left="2160" w:hanging="420"/>
      </w:pPr>
      <w:rPr>
        <w:rFonts w:hint="eastAsia"/>
      </w:rPr>
    </w:lvl>
    <w:lvl w:ilvl="4" w:tentative="0">
      <w:start w:val="1"/>
      <w:numFmt w:val="lowerLetter"/>
      <w:pStyle w:val="6"/>
      <w:lvlText w:val="%5)"/>
      <w:lvlJc w:val="left"/>
      <w:pPr>
        <w:tabs>
          <w:tab w:val="left" w:pos="2580"/>
        </w:tabs>
        <w:ind w:left="2580" w:hanging="420"/>
      </w:pPr>
      <w:rPr>
        <w:rFonts w:hint="eastAsia"/>
      </w:rPr>
    </w:lvl>
    <w:lvl w:ilvl="5" w:tentative="0">
      <w:start w:val="1"/>
      <w:numFmt w:val="lowerRoman"/>
      <w:pStyle w:val="7"/>
      <w:lvlText w:val="%6."/>
      <w:lvlJc w:val="right"/>
      <w:pPr>
        <w:tabs>
          <w:tab w:val="left" w:pos="3000"/>
        </w:tabs>
        <w:ind w:left="3000" w:hanging="420"/>
      </w:pPr>
      <w:rPr>
        <w:rFonts w:hint="eastAsia"/>
      </w:rPr>
    </w:lvl>
    <w:lvl w:ilvl="6" w:tentative="0">
      <w:start w:val="1"/>
      <w:numFmt w:val="decimal"/>
      <w:pStyle w:val="8"/>
      <w:lvlText w:val="%7."/>
      <w:lvlJc w:val="left"/>
      <w:pPr>
        <w:tabs>
          <w:tab w:val="left" w:pos="3420"/>
        </w:tabs>
        <w:ind w:left="3420" w:hanging="420"/>
      </w:pPr>
      <w:rPr>
        <w:rFonts w:hint="eastAsia"/>
      </w:rPr>
    </w:lvl>
    <w:lvl w:ilvl="7" w:tentative="0">
      <w:start w:val="1"/>
      <w:numFmt w:val="lowerLetter"/>
      <w:pStyle w:val="9"/>
      <w:lvlText w:val="%8)"/>
      <w:lvlJc w:val="left"/>
      <w:pPr>
        <w:tabs>
          <w:tab w:val="left" w:pos="3840"/>
        </w:tabs>
        <w:ind w:left="3840" w:hanging="420"/>
      </w:pPr>
      <w:rPr>
        <w:rFonts w:hint="eastAsia"/>
      </w:rPr>
    </w:lvl>
    <w:lvl w:ilvl="8" w:tentative="0">
      <w:start w:val="1"/>
      <w:numFmt w:val="lowerRoman"/>
      <w:pStyle w:val="10"/>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1B7CE1"/>
    <w:rsid w:val="174C6E24"/>
    <w:rsid w:val="256C3966"/>
    <w:rsid w:val="2B03004F"/>
    <w:rsid w:val="3A750A18"/>
    <w:rsid w:val="3AEF1BB1"/>
    <w:rsid w:val="4C726D79"/>
    <w:rsid w:val="4DC80BCA"/>
    <w:rsid w:val="512E12EF"/>
    <w:rsid w:val="6139407C"/>
    <w:rsid w:val="61AE4A7D"/>
    <w:rsid w:val="63E427AE"/>
    <w:rsid w:val="6CCA37C2"/>
    <w:rsid w:val="6F114AA7"/>
    <w:rsid w:val="72887E68"/>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3">
    <w:name w:val="heading 2"/>
    <w:basedOn w:val="4"/>
    <w:next w:val="1"/>
    <w:link w:val="17"/>
    <w:semiHidden/>
    <w:unhideWhenUsed/>
    <w:qFormat/>
    <w:uiPriority w:val="0"/>
    <w:pPr>
      <w:spacing w:before="50" w:after="50"/>
      <w:outlineLvl w:val="1"/>
    </w:pPr>
    <w:rPr>
      <w:rFonts w:ascii="楷体_GB2312" w:hAnsi="楷体_GB2312" w:eastAsia="楷体" w:cs="Times New Roman"/>
      <w:bCs/>
      <w:color w:val="000000"/>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4">
    <w:name w:val="Default Paragraph Font"/>
    <w:link w:val="15"/>
    <w:semiHidden/>
    <w:qFormat/>
    <w:uiPriority w:val="0"/>
    <w:rPr>
      <w:rFonts w:ascii="楷体" w:hAnsi="楷体"/>
      <w:kern w:val="0"/>
      <w:sz w:val="24"/>
      <w:szCs w:val="20"/>
      <w:lang w:eastAsia="en-US"/>
    </w:rPr>
  </w:style>
  <w:style w:type="table" w:default="1" w:styleId="12">
    <w:name w:val="Normal Table"/>
    <w:semiHidden/>
    <w:qFormat/>
    <w:uiPriority w:val="0"/>
    <w:tblPr>
      <w:tblCellMar>
        <w:top w:w="0" w:type="dxa"/>
        <w:left w:w="108" w:type="dxa"/>
        <w:bottom w:w="0" w:type="dxa"/>
        <w:right w:w="108" w:type="dxa"/>
      </w:tblCellMar>
    </w:tblPr>
  </w:style>
  <w:style w:type="paragraph" w:styleId="11">
    <w:name w:val="Body Text"/>
    <w:basedOn w:val="1"/>
    <w:qFormat/>
    <w:uiPriority w:val="0"/>
    <w:pPr>
      <w:ind w:left="108"/>
    </w:pPr>
    <w:rPr>
      <w:rFonts w:ascii="宋体" w:hAnsi="宋体" w:eastAsia="宋体" w:cs="宋体"/>
      <w:sz w:val="28"/>
      <w:szCs w:val="28"/>
      <w:lang w:eastAsia="en-US"/>
    </w:rPr>
  </w:style>
  <w:style w:type="table" w:styleId="13">
    <w:name w:val="Table Grid"/>
    <w:basedOn w:val="12"/>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_Style 30"/>
    <w:basedOn w:val="1"/>
    <w:link w:val="14"/>
    <w:qFormat/>
    <w:uiPriority w:val="0"/>
    <w:pPr>
      <w:widowControl/>
      <w:spacing w:after="160" w:line="240" w:lineRule="exact"/>
      <w:jc w:val="left"/>
    </w:pPr>
    <w:rPr>
      <w:rFonts w:ascii="楷体" w:hAnsi="楷体"/>
      <w:kern w:val="0"/>
      <w:sz w:val="24"/>
      <w:szCs w:val="20"/>
      <w:lang w:eastAsia="en-US"/>
    </w:rPr>
  </w:style>
  <w:style w:type="paragraph" w:customStyle="1" w:styleId="16">
    <w:name w:val="样式3"/>
    <w:basedOn w:val="4"/>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7">
    <w:name w:val="标题 2 Char"/>
    <w:link w:val="3"/>
    <w:qFormat/>
    <w:uiPriority w:val="0"/>
    <w:rPr>
      <w:rFonts w:ascii="楷体_GB2312" w:hAnsi="楷体_GB2312" w:eastAsia="楷体" w:cs="Times New Roman"/>
      <w:b/>
      <w:bCs/>
      <w:color w:val="000000"/>
      <w:kern w:val="2"/>
      <w:sz w:val="32"/>
      <w:szCs w:val="24"/>
      <w:lang w:val="en-US" w:eastAsia="zh-CN" w:bidi="ar-SA"/>
    </w:rPr>
  </w:style>
  <w:style w:type="character" w:customStyle="1" w:styleId="18">
    <w:name w:val="标题 1 Char"/>
    <w:basedOn w:val="14"/>
    <w:link w:val="2"/>
    <w:qFormat/>
    <w:uiPriority w:val="0"/>
    <w:rPr>
      <w:rFonts w:eastAsia="黑体"/>
      <w:bCs/>
      <w:kern w:val="44"/>
      <w:sz w:val="32"/>
      <w:szCs w:val="44"/>
      <w:lang w:val="en-US" w:eastAsia="zh-CN" w:bidi="ar-SA"/>
    </w:rPr>
  </w:style>
  <w:style w:type="paragraph" w:customStyle="1" w:styleId="19">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卢志梅-安源鼎盛</cp:lastModifiedBy>
  <dcterms:modified xsi:type="dcterms:W3CDTF">2020-06-08T08:33:20Z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